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34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风险管控和修复活动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违法的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6" o:spt="20" style="position:absolute;left:0pt;margin-left:86.55pt;margin-top:12.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7" o:spt="20" style="position:absolute;left:0pt;flip:x;margin-left:85.1pt;margin-top:12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pt;margin-top:7.0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4pt;height:20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5.65pt;margin-top:5.75pt;height:53.25pt;width:134.8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3.7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6.15pt;height:21.0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执法监督处、乌江赤水河流域环境监管局、清水江都柳江流域环境监管局、南北盘江红水河流域环境监管局、土壤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0F044926"/>
    <w:rsid w:val="13610D8A"/>
    <w:rsid w:val="210D40B8"/>
    <w:rsid w:val="35855C48"/>
    <w:rsid w:val="4E3E5A4A"/>
    <w:rsid w:val="72B33D75"/>
    <w:rsid w:val="784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  <o:r id="V:Rule12" type="connector" idref="#直接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6"/>
    <customShpInfo spid="_x0000_s1087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2019-11-01T08:11:32Z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