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宋体" w:eastAsia="黑体" w:cs="黑体"/>
          <w:b/>
          <w:kern w:val="0"/>
          <w:sz w:val="44"/>
          <w:szCs w:val="44"/>
          <w:lang w:eastAsia="zh-CN"/>
        </w:rPr>
      </w:pPr>
      <w:bookmarkStart w:id="1" w:name="_GoBack"/>
      <w:bookmarkEnd w:id="1"/>
      <w:bookmarkStart w:id="0" w:name="_Toc17309"/>
      <w:r>
        <w:rPr>
          <w:rFonts w:hint="eastAsia" w:ascii="黑体" w:hAnsi="宋体" w:eastAsia="黑体" w:cs="黑体"/>
          <w:b/>
          <w:kern w:val="0"/>
          <w:sz w:val="44"/>
          <w:szCs w:val="44"/>
        </w:rPr>
        <w:t>贵州省生态环境厅</w:t>
      </w:r>
      <w:bookmarkEnd w:id="0"/>
      <w:r>
        <w:rPr>
          <w:rFonts w:hint="eastAsia" w:ascii="黑体" w:hAnsi="宋体" w:eastAsia="黑体" w:cs="黑体"/>
          <w:b/>
          <w:kern w:val="0"/>
          <w:sz w:val="44"/>
          <w:szCs w:val="44"/>
          <w:lang w:eastAsia="zh-CN"/>
        </w:rPr>
        <w:t>权力清单和责任清单目录</w:t>
      </w:r>
    </w:p>
    <w:p>
      <w:pPr>
        <w:spacing w:beforeAutospacing="0" w:line="240" w:lineRule="auto"/>
        <w:ind w:firstLine="0" w:firstLineChars="0"/>
        <w:jc w:val="both"/>
        <w:rPr>
          <w:rFonts w:hint="eastAsia" w:ascii="仿宋_GB2312" w:hAnsi="仿宋_GB2312" w:eastAsia="仿宋_GB2312" w:cs="仿宋_GB2312"/>
          <w:b/>
          <w:kern w:val="0"/>
          <w:sz w:val="24"/>
          <w:szCs w:val="24"/>
          <w:lang w:val="en-US" w:eastAsia="zh-CN"/>
        </w:rPr>
      </w:pPr>
    </w:p>
    <w:tbl>
      <w:tblPr>
        <w:tblStyle w:val="8"/>
        <w:tblW w:w="15465"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00"/>
        <w:gridCol w:w="1080"/>
        <w:gridCol w:w="1470"/>
        <w:gridCol w:w="6066"/>
        <w:gridCol w:w="1467"/>
        <w:gridCol w:w="1572"/>
        <w:gridCol w:w="117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3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序号</w:t>
            </w:r>
          </w:p>
        </w:tc>
        <w:tc>
          <w:tcPr>
            <w:tcW w:w="90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权力类型</w:t>
            </w:r>
          </w:p>
        </w:tc>
        <w:tc>
          <w:tcPr>
            <w:tcW w:w="108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权力</w:t>
            </w:r>
          </w:p>
          <w:p>
            <w:pPr>
              <w:spacing w:line="240" w:lineRule="exact"/>
              <w:jc w:val="center"/>
              <w:rPr>
                <w:rFonts w:hint="eastAsia" w:ascii="黑体" w:hAnsi="黑体" w:eastAsia="黑体" w:cs="宋体"/>
                <w:szCs w:val="21"/>
              </w:rPr>
            </w:pPr>
            <w:r>
              <w:rPr>
                <w:rFonts w:hint="eastAsia" w:ascii="黑体" w:hAnsi="黑体" w:eastAsia="黑体" w:cs="宋体"/>
                <w:szCs w:val="21"/>
              </w:rPr>
              <w:t>名称</w:t>
            </w:r>
          </w:p>
        </w:tc>
        <w:tc>
          <w:tcPr>
            <w:tcW w:w="147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权力依据</w:t>
            </w:r>
          </w:p>
        </w:tc>
        <w:tc>
          <w:tcPr>
            <w:tcW w:w="6066" w:type="dxa"/>
            <w:tcBorders>
              <w:left w:val="double" w:color="auto" w:sz="4" w:space="0"/>
            </w:tcBorders>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责任事项</w:t>
            </w:r>
          </w:p>
        </w:tc>
        <w:tc>
          <w:tcPr>
            <w:tcW w:w="1467"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责任事项</w:t>
            </w:r>
          </w:p>
          <w:p>
            <w:pPr>
              <w:spacing w:line="240" w:lineRule="exact"/>
              <w:jc w:val="center"/>
              <w:rPr>
                <w:rFonts w:hint="eastAsia" w:ascii="黑体" w:hAnsi="黑体" w:eastAsia="黑体" w:cs="宋体"/>
                <w:szCs w:val="21"/>
              </w:rPr>
            </w:pPr>
            <w:r>
              <w:rPr>
                <w:rFonts w:hint="eastAsia" w:ascii="黑体" w:hAnsi="黑体" w:eastAsia="黑体" w:cs="宋体"/>
                <w:szCs w:val="21"/>
              </w:rPr>
              <w:t>依据</w:t>
            </w:r>
          </w:p>
        </w:tc>
        <w:tc>
          <w:tcPr>
            <w:tcW w:w="1572"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责任处室</w:t>
            </w:r>
          </w:p>
        </w:tc>
        <w:tc>
          <w:tcPr>
            <w:tcW w:w="117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追责对象范围</w:t>
            </w:r>
          </w:p>
        </w:tc>
        <w:tc>
          <w:tcPr>
            <w:tcW w:w="111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转移固体废物</w:t>
            </w:r>
            <w:r>
              <w:rPr>
                <w:rFonts w:hint="eastAsia" w:ascii="宋体" w:hAnsi="宋体" w:eastAsia="宋体" w:cs="宋体"/>
                <w:color w:val="auto"/>
                <w:kern w:val="0"/>
                <w:sz w:val="18"/>
                <w:szCs w:val="18"/>
                <w:lang w:eastAsia="zh-CN"/>
              </w:rPr>
              <w:t>、危险废物</w:t>
            </w:r>
            <w:r>
              <w:rPr>
                <w:rFonts w:hint="eastAsia" w:ascii="宋体" w:hAnsi="宋体" w:eastAsia="宋体" w:cs="宋体"/>
                <w:color w:val="auto"/>
                <w:kern w:val="0"/>
                <w:sz w:val="18"/>
                <w:szCs w:val="18"/>
              </w:rPr>
              <w:t>出省行政区域贮存、处置的批准</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《固体废物污染环境防治法》第23条；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《危险废物转移联单管理办法》第3条、第11条 </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1.受理责任：公示法定应当提交的材料；一次性告知补正材料；依法受理或不予受理申请（不予受理应告知理由）。</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2.审查责任：对申请人提交的申请材料进行审查，提出审查意见。</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3.决定责任：在规定期限内作出许可或不予许可的书面决定；不予许可应告知理由，并告知相对人申请复议或提起行政诉讼的权利。</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4.送达责任：在规定期限内向申请人送达行政许可证件；建立信息档案；公开有关信息。</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5.事后监管责任：建立实施监督检查的运行机制和管理制度，加强对企业的不定期检查，根据检查结果提出限期整改、吊销许可证等处理决定。</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《固体废物污染环境防治法》第11、12、13、14、15条；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《危险废物转移联单管理办法》第3、4、11、13条。</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固体废物与化学品处</w:t>
            </w:r>
            <w:r>
              <w:rPr>
                <w:rFonts w:hint="eastAsia" w:ascii="宋体" w:hAnsi="宋体" w:eastAsia="宋体" w:cs="宋体"/>
                <w:color w:val="auto"/>
                <w:kern w:val="0"/>
                <w:sz w:val="18"/>
                <w:szCs w:val="18"/>
              </w:rPr>
              <w:t>、派驻政务服务中心窗口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权限内从事收集、贮存、处置危险废物经营活动和从事利用危险废物经营活动的许可</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《固体废物污染环境防治法》第57条；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《危险废物经营许可证管理办法》第7条。</w:t>
            </w:r>
            <w:r>
              <w:rPr>
                <w:rFonts w:hint="eastAsia" w:ascii="宋体" w:hAnsi="宋体" w:eastAsia="宋体" w:cs="宋体"/>
                <w:color w:val="auto"/>
                <w:kern w:val="0"/>
                <w:sz w:val="18"/>
                <w:szCs w:val="18"/>
              </w:rPr>
              <w:br w:type="textWrapping"/>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1.受理责任：公示法定应当提交的材料；一次性告知补正材料；依法受理或不予受理申请（不予受理应告知理由）。</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2.审查责任：对申请人提交的申请材料进行审查，提出审查意见。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4.送达责任：在规定期限内向申请人送达行政许可证件；建立信息档案；公开有关信息。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5.事后监管责任：建立实施监督检查的运行机制和管理制度，加强对企业的不定期检查，根据检查结果提出限期整改、吊销许可证等处理决定。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《固体废物污染环境防治法》第11、12、13、14、15条。</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固体废物与化学品处</w:t>
            </w:r>
            <w:r>
              <w:rPr>
                <w:rFonts w:hint="eastAsia" w:ascii="宋体" w:hAnsi="宋体" w:eastAsia="宋体" w:cs="宋体"/>
                <w:color w:val="auto"/>
                <w:kern w:val="0"/>
                <w:sz w:val="18"/>
                <w:szCs w:val="18"/>
              </w:rPr>
              <w:t>、派驻政务服务中心窗口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权限内生产、销售、使用放射性同位素和射线装置许可证的审批</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28条、第29条</w:t>
            </w:r>
            <w:r>
              <w:rPr>
                <w:rFonts w:hint="eastAsia" w:ascii="宋体" w:hAnsi="宋体" w:eastAsia="宋体" w:cs="宋体"/>
                <w:color w:val="auto"/>
                <w:kern w:val="0"/>
                <w:sz w:val="18"/>
                <w:szCs w:val="18"/>
              </w:rPr>
              <w:t>；</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《放射性同位素与射线装置安全和防护条例》第6条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《放射性同位素与射线装置安全许可管理办法》第2、4条；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《国务院关于取消和下放一批行政审批项目的决定》(国发〔2014〕5号)第67项。</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 xml:space="preserve">受理责任：公示依法应当提交的材料；一次性告知补正材料；依法受理或不予受理（不予受理的，将《不予受理通知书》交办件人）。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审查责任：依法审查是否符合许可条件。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决定责任：作出准予许可或不予许可的决定（依照法定方式进行，不予许可的说明理由）。</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 xml:space="preserve">送达责任：依法制作《辐射安全许可证》或者不予行政许可决定书，告知申请人不服行政许可决定，申请复议或者提起行政诉讼的途径和期限。通知办件人领取或其他方式送达《辐射安全许可证》或不予行政许可决定书。信息公开。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 xml:space="preserve">事后监管责任：建立实施监督检查的运行机制和管理制度，开展后续监督管理。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w:t>
            </w:r>
            <w:r>
              <w:rPr>
                <w:rFonts w:hint="eastAsia" w:ascii="宋体" w:hAnsi="宋体" w:eastAsia="宋体" w:cs="宋体"/>
                <w:color w:val="auto"/>
                <w:kern w:val="0"/>
                <w:sz w:val="18"/>
                <w:szCs w:val="18"/>
                <w:lang w:val="en-US" w:eastAsia="zh-CN"/>
              </w:rPr>
              <w:t>11条、第12</w:t>
            </w:r>
            <w:r>
              <w:rPr>
                <w:rFonts w:hint="eastAsia" w:ascii="宋体" w:hAnsi="宋体" w:eastAsia="宋体" w:cs="宋体"/>
                <w:color w:val="auto"/>
                <w:kern w:val="0"/>
                <w:sz w:val="18"/>
                <w:szCs w:val="18"/>
              </w:rPr>
              <w:t>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13条</w:t>
            </w:r>
            <w:r>
              <w:rPr>
                <w:rFonts w:hint="eastAsia" w:ascii="宋体" w:hAnsi="宋体" w:eastAsia="宋体" w:cs="宋体"/>
                <w:color w:val="auto"/>
                <w:kern w:val="0"/>
                <w:sz w:val="18"/>
                <w:szCs w:val="18"/>
              </w:rPr>
              <w:t>；</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《放射性同位素与射线装置安全和防护条例》第6条</w:t>
            </w:r>
            <w:r>
              <w:rPr>
                <w:rFonts w:hint="eastAsia" w:ascii="宋体" w:hAnsi="宋体" w:eastAsia="宋体" w:cs="宋体"/>
                <w:color w:val="auto"/>
                <w:kern w:val="0"/>
                <w:sz w:val="18"/>
                <w:szCs w:val="18"/>
                <w:lang w:eastAsia="zh-CN"/>
              </w:rPr>
              <w:t>；《放射性同位素与射线装置安全和防护条例》第3、8、9、13、46、50条。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《放射性同位素与射线装置安全许可管理办法》第19、43条</w:t>
            </w:r>
            <w:r>
              <w:rPr>
                <w:rFonts w:hint="eastAsia" w:ascii="宋体" w:hAnsi="宋体" w:eastAsia="宋体" w:cs="宋体"/>
                <w:color w:val="auto"/>
                <w:kern w:val="0"/>
                <w:sz w:val="18"/>
                <w:szCs w:val="18"/>
              </w:rPr>
              <w:t>。</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放射性同位素转</w:t>
            </w:r>
            <w:r>
              <w:rPr>
                <w:rFonts w:hint="eastAsia" w:ascii="宋体" w:hAnsi="宋体" w:eastAsia="宋体" w:cs="宋体"/>
                <w:color w:val="auto"/>
                <w:kern w:val="0"/>
                <w:sz w:val="18"/>
                <w:szCs w:val="18"/>
                <w:lang w:eastAsia="zh-CN"/>
              </w:rPr>
              <w:t>入</w:t>
            </w:r>
            <w:r>
              <w:rPr>
                <w:rFonts w:hint="eastAsia" w:ascii="宋体" w:hAnsi="宋体" w:eastAsia="宋体" w:cs="宋体"/>
                <w:color w:val="auto"/>
                <w:kern w:val="0"/>
                <w:sz w:val="18"/>
                <w:szCs w:val="18"/>
              </w:rPr>
              <w:t>审批</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《放射性同位素与射线装置安全许可管理办法》第6条；《放射性同位素与射线装置安全和防护条例》第</w:t>
            </w:r>
            <w:r>
              <w:rPr>
                <w:rFonts w:hint="eastAsia" w:ascii="宋体" w:hAnsi="宋体" w:eastAsia="宋体" w:cs="宋体"/>
                <w:color w:val="auto"/>
                <w:kern w:val="0"/>
                <w:sz w:val="18"/>
                <w:szCs w:val="18"/>
                <w:lang w:val="en-US" w:eastAsia="zh-CN"/>
              </w:rPr>
              <w:t>19条、第</w:t>
            </w:r>
            <w:r>
              <w:rPr>
                <w:rFonts w:hint="eastAsia" w:ascii="宋体" w:hAnsi="宋体" w:eastAsia="宋体" w:cs="宋体"/>
                <w:color w:val="auto"/>
                <w:kern w:val="0"/>
                <w:sz w:val="18"/>
                <w:szCs w:val="18"/>
              </w:rPr>
              <w:t>20条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21条</w:t>
            </w:r>
            <w:r>
              <w:rPr>
                <w:rFonts w:hint="eastAsia" w:ascii="宋体" w:hAnsi="宋体" w:eastAsia="宋体" w:cs="宋体"/>
                <w:color w:val="auto"/>
                <w:kern w:val="0"/>
                <w:sz w:val="18"/>
                <w:szCs w:val="18"/>
              </w:rPr>
              <w:t xml:space="preserve">。  </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 xml:space="preserve">受理责任：公示依法应当提交的材料；一次性告知补正材料；依法受理或不予受理。不予受理的，将《不予受理通知书》交办件人。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审查责任：审查是否符合许可条件。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作出准予许可或不予许可的决定（依照法定方式进行，不予许可的，应当说明理由）。（省、自治区、直辖市人民政府环境保护主管部门应当自受理申请之日起15个工作日内完成审查，符合条件的，予以批准；不符合条件的，书面通知申请单位并说明理由。）</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送达责任：制作同意许可决定书或者不予行政许可决定书，告知申请人不服行政许可决定，申请复议或者提起行政诉讼的途径和期限，当场交办件人。信息公开。</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事后监管责任：建立实施监督检查的运行机制和管理制度，开展后续监督管理。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《放射性同位素与射线装置安全和防护条例》第</w:t>
            </w:r>
            <w:r>
              <w:rPr>
                <w:rFonts w:hint="eastAsia" w:ascii="宋体" w:hAnsi="宋体" w:eastAsia="宋体" w:cs="宋体"/>
                <w:color w:val="auto"/>
                <w:kern w:val="0"/>
                <w:sz w:val="18"/>
                <w:szCs w:val="18"/>
                <w:lang w:val="en-US" w:eastAsia="zh-CN"/>
              </w:rPr>
              <w:t>3</w:t>
            </w:r>
            <w:r>
              <w:rPr>
                <w:rFonts w:hint="eastAsia" w:ascii="宋体" w:hAnsi="宋体" w:eastAsia="宋体" w:cs="宋体"/>
                <w:color w:val="auto"/>
                <w:kern w:val="0"/>
                <w:sz w:val="18"/>
                <w:szCs w:val="18"/>
              </w:rPr>
              <w:t>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20条</w:t>
            </w:r>
            <w:r>
              <w:rPr>
                <w:rFonts w:hint="eastAsia" w:ascii="宋体" w:hAnsi="宋体" w:eastAsia="宋体" w:cs="宋体"/>
                <w:color w:val="auto"/>
                <w:kern w:val="0"/>
                <w:sz w:val="18"/>
                <w:szCs w:val="18"/>
                <w:lang w:eastAsia="zh-CN"/>
              </w:rPr>
              <w:t>；《放射性同位素与射线装置安全许可管理办法》第32条</w:t>
            </w:r>
            <w:r>
              <w:rPr>
                <w:rFonts w:hint="eastAsia" w:ascii="宋体" w:hAnsi="宋体" w:eastAsia="宋体" w:cs="宋体"/>
                <w:color w:val="auto"/>
                <w:kern w:val="0"/>
                <w:sz w:val="18"/>
                <w:szCs w:val="18"/>
              </w:rPr>
              <w:t>。</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权限内建设项目环境影响评价文件审批</w:t>
            </w:r>
          </w:p>
        </w:tc>
        <w:tc>
          <w:tcPr>
            <w:tcW w:w="147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《环境保护法》第19条；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《环境影响评价法》第3、8、16、22条；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《建设项目环境保护管理条例》第7、20条；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《建设项目竣工环境保护验收暂行办法》第2、3条；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《放射性污染防治法》第20、29条；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《电磁辐射环境保护管理办法》第7、11、5、19条；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《水污染防治法》第13、19、20、21条；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《大气污染防治法》第12、19条；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《贵州省环境保护条例》第24条；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《贵州省污染物排放申报登记及污染物排放许可管理办法》第11条；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《排污许可管理办法（试行）》（原环境保护部令第48号）；</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省人民政府办公厅关于印发贵州省控制污染物排放许可制实施方案的通知（黔府办发【2017】19号）                                                                                                                                        </w:t>
            </w:r>
          </w:p>
        </w:tc>
        <w:tc>
          <w:tcPr>
            <w:tcW w:w="6066" w:type="dxa"/>
            <w:tcBorders>
              <w:left w:val="double" w:color="auto" w:sz="4" w:space="0"/>
            </w:tcBorders>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1.受理责任：公示法定应当提交的材料；一次性告知补正材料；依法受理或不予受理申请（不予受理的应当告知理由）。</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2.审查责任：对申请人提交的申请材料进行审查，提出审查意见。</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决定责任：在规定期限内作出许可或不予许可的书面决定；不予许可应告知理由，并告知相对人申请复议或提起行政诉讼的权利。（审批部门应当自收到环境影响报告书之日起六十日内，收到环境影响报告表之日起三十日内，分别作出审批决定并书面通知建设单位；省、自治区、直辖市人民政府环境保护主管部门应当自受理排污许可证核发申请之日起15个工作日内完成审查，符合条件的，予以批准；不符合条件的，书面通知申请单位并说明理由。）</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4.送达责任：在规定期限内向申请人送达行政许可证件；建立信息档案；公开有关信息。</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5.事后监管责任：建立实施监督检查的运行机制和管理制度，生态环境执法监督处开展后续监督管理并组织“三同时”制度落实情况的监督，属地生态环境部门负责日常环境保护监管工作。</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6.法律法规规章文件规定应履行的其他责任。</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p>
        </w:tc>
        <w:tc>
          <w:tcPr>
            <w:tcW w:w="1467"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《行政许可法》第30、32、34、37、38、39、40、42、44、61条；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《建设项目环境保护管理条例》第7、20、21、22条；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《建设项目竣工环境保护验收管理办法》第4、9、11、12、13、16条；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《放射性污染防治法》第20、21、29、30、34、35条；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《电磁辐射环境保护管理办法》第11、15、19条；</w:t>
            </w:r>
          </w:p>
          <w:p>
            <w:pPr>
              <w:widowControl/>
              <w:wordWrap/>
              <w:adjustRightInd/>
              <w:snapToGrid/>
              <w:spacing w:line="240" w:lineRule="exact"/>
              <w:jc w:val="both"/>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《大气污染防治法》第12条、第22条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p>
        </w:tc>
        <w:tc>
          <w:tcPr>
            <w:tcW w:w="1572"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环境影响评价与排放管理处、生态环境执法监督处、核与辐射安全监管处、派驻政务服务中心窗口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将原“权限内建设项目环境影响评价文件审批”、“在江河、湖泊新建、改建或者扩大入河排污口审核”、“燃煤火电厂排污许可证核发”合并为此项。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放射性同位素野外示踪试验审批</w:t>
            </w:r>
          </w:p>
        </w:tc>
        <w:tc>
          <w:tcPr>
            <w:tcW w:w="147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《放射性同位素与射线装置安全和防护条例》第</w:t>
            </w:r>
            <w:r>
              <w:rPr>
                <w:rFonts w:hint="eastAsia" w:ascii="宋体" w:hAnsi="宋体" w:eastAsia="宋体" w:cs="宋体"/>
                <w:color w:val="auto"/>
                <w:kern w:val="0"/>
                <w:sz w:val="18"/>
                <w:szCs w:val="18"/>
                <w:lang w:val="en-US" w:eastAsia="zh-CN"/>
              </w:rPr>
              <w:t>36</w:t>
            </w:r>
            <w:r>
              <w:rPr>
                <w:rFonts w:hint="eastAsia" w:ascii="宋体" w:hAnsi="宋体" w:eastAsia="宋体" w:cs="宋体"/>
                <w:color w:val="auto"/>
                <w:kern w:val="0"/>
                <w:sz w:val="18"/>
                <w:szCs w:val="18"/>
                <w:lang w:eastAsia="zh-CN"/>
              </w:rPr>
              <w:t>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《放射性同位素与射线装置安全许可管理办法》第6、</w:t>
            </w:r>
            <w:r>
              <w:rPr>
                <w:rFonts w:hint="eastAsia" w:ascii="宋体" w:hAnsi="宋体" w:eastAsia="宋体" w:cs="宋体"/>
                <w:color w:val="auto"/>
                <w:kern w:val="0"/>
                <w:sz w:val="18"/>
                <w:szCs w:val="18"/>
                <w:lang w:val="en-US" w:eastAsia="zh-CN"/>
              </w:rPr>
              <w:t>34</w:t>
            </w:r>
            <w:r>
              <w:rPr>
                <w:rFonts w:hint="eastAsia" w:ascii="宋体" w:hAnsi="宋体" w:eastAsia="宋体" w:cs="宋体"/>
                <w:color w:val="auto"/>
                <w:kern w:val="0"/>
                <w:sz w:val="18"/>
                <w:szCs w:val="18"/>
                <w:lang w:eastAsia="zh-CN"/>
              </w:rPr>
              <w:t>条</w:t>
            </w:r>
          </w:p>
        </w:tc>
        <w:tc>
          <w:tcPr>
            <w:tcW w:w="6066" w:type="dxa"/>
            <w:tcBorders>
              <w:left w:val="double" w:color="auto" w:sz="4" w:space="0"/>
            </w:tcBorders>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 xml:space="preserve">受理责任：公示依法应当提交的材料；一次性告知补正材料；依法受理或不予受理。不予受理的，将《不予受理通知书》交办件人。                        </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审查责任：审查是否符合许可条件。</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决定责任：作出准予许可或不予许可的决定（依照法定方式进行，不予许可的，应当说明理由）。（省、自治区、直辖市人民政府环境保护主管部门应当自受理申请之日起15个工作日内完成审查，符合条件的，予以批准；不符合条件的，书面通知申请单位并说明理由。）</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送达责任：制作同意许可决定书或者不予行政许可决定书，告知申请人不服行政许可决定，申请复议或者提起行政诉讼的途径和期限，当场交办件人。信息公开。</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事后监管责任：建立实施监督检查的运行机制和管理制度，开展后续监督管理。</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其他法律法规规章文件规定应履行的责任。</w:t>
            </w:r>
          </w:p>
        </w:tc>
        <w:tc>
          <w:tcPr>
            <w:tcW w:w="1467"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r>
              <w:rPr>
                <w:rFonts w:hint="eastAsia" w:ascii="宋体" w:hAnsi="宋体" w:eastAsia="宋体" w:cs="宋体"/>
                <w:color w:val="auto"/>
                <w:kern w:val="0"/>
                <w:sz w:val="18"/>
                <w:szCs w:val="18"/>
                <w:lang w:eastAsia="zh-CN"/>
              </w:rPr>
              <w:t>《放射性同位素与射线装置安全许可管理办法》第</w:t>
            </w:r>
            <w:r>
              <w:rPr>
                <w:rFonts w:hint="eastAsia" w:ascii="宋体" w:hAnsi="宋体" w:eastAsia="宋体" w:cs="宋体"/>
                <w:color w:val="auto"/>
                <w:kern w:val="0"/>
                <w:sz w:val="18"/>
                <w:szCs w:val="18"/>
                <w:lang w:val="en-US" w:eastAsia="zh-CN"/>
              </w:rPr>
              <w:t>43条</w:t>
            </w:r>
            <w:r>
              <w:rPr>
                <w:rFonts w:hint="eastAsia" w:ascii="宋体" w:hAnsi="宋体" w:eastAsia="宋体" w:cs="宋体"/>
                <w:color w:val="auto"/>
                <w:kern w:val="0"/>
                <w:sz w:val="18"/>
                <w:szCs w:val="18"/>
                <w:lang w:eastAsia="zh-CN"/>
              </w:rPr>
              <w:t>；《放射性同位素与射线装置安全和防护条例》第</w:t>
            </w:r>
            <w:r>
              <w:rPr>
                <w:rFonts w:hint="eastAsia" w:ascii="宋体" w:hAnsi="宋体" w:eastAsia="宋体" w:cs="宋体"/>
                <w:color w:val="auto"/>
                <w:kern w:val="0"/>
                <w:sz w:val="18"/>
                <w:szCs w:val="18"/>
                <w:lang w:val="en-US" w:eastAsia="zh-CN"/>
              </w:rPr>
              <w:t>46</w:t>
            </w:r>
            <w:r>
              <w:rPr>
                <w:rFonts w:hint="eastAsia" w:ascii="宋体" w:hAnsi="宋体" w:eastAsia="宋体" w:cs="宋体"/>
                <w:color w:val="auto"/>
                <w:kern w:val="0"/>
                <w:sz w:val="18"/>
                <w:szCs w:val="18"/>
                <w:lang w:eastAsia="zh-CN"/>
              </w:rPr>
              <w:t>条。</w:t>
            </w:r>
          </w:p>
        </w:tc>
        <w:tc>
          <w:tcPr>
            <w:tcW w:w="1572"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核与辐射安全监管处、派驻政务服务中心窗口</w:t>
            </w:r>
          </w:p>
        </w:tc>
        <w:tc>
          <w:tcPr>
            <w:tcW w:w="117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Align w:val="center"/>
          </w:tcPr>
          <w:p>
            <w:pPr>
              <w:numPr>
                <w:ilvl w:val="0"/>
                <w:numId w:val="1"/>
              </w:numPr>
              <w:tabs>
                <w:tab w:val="left" w:pos="437"/>
              </w:tabs>
              <w:spacing w:line="240" w:lineRule="exact"/>
              <w:ind w:left="425" w:leftChars="0" w:hanging="425" w:firstLineChars="0"/>
              <w:jc w:val="left"/>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违反建设项目环境影响评价制度处罚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《环境保护法》第61条；《环境影响评价法》第31</w:t>
            </w:r>
            <w:r>
              <w:rPr>
                <w:rFonts w:hint="eastAsia" w:ascii="宋体" w:hAnsi="宋体" w:eastAsia="宋体" w:cs="宋体"/>
                <w:color w:val="auto"/>
                <w:kern w:val="0"/>
                <w:sz w:val="18"/>
                <w:szCs w:val="18"/>
                <w:lang w:eastAsia="zh-CN"/>
              </w:rPr>
              <w:t>条、第</w:t>
            </w:r>
            <w:r>
              <w:rPr>
                <w:rFonts w:hint="eastAsia" w:ascii="宋体" w:hAnsi="宋体" w:eastAsia="宋体" w:cs="宋体"/>
                <w:color w:val="auto"/>
                <w:kern w:val="0"/>
                <w:sz w:val="18"/>
                <w:szCs w:val="18"/>
                <w:lang w:val="en-US" w:eastAsia="zh-CN"/>
              </w:rPr>
              <w:t>32条、第</w:t>
            </w:r>
            <w:r>
              <w:rPr>
                <w:rFonts w:hint="eastAsia" w:ascii="宋体" w:hAnsi="宋体" w:eastAsia="宋体" w:cs="宋体"/>
                <w:color w:val="auto"/>
                <w:kern w:val="0"/>
                <w:sz w:val="18"/>
                <w:szCs w:val="18"/>
              </w:rPr>
              <w:t>33条；《建设项目环境保护管理条例》第</w:t>
            </w:r>
            <w:r>
              <w:rPr>
                <w:rFonts w:hint="eastAsia" w:ascii="宋体" w:hAnsi="宋体" w:eastAsia="宋体" w:cs="宋体"/>
                <w:color w:val="auto"/>
                <w:kern w:val="0"/>
                <w:sz w:val="18"/>
                <w:szCs w:val="18"/>
                <w:lang w:val="en-US" w:eastAsia="zh-CN"/>
              </w:rPr>
              <w:t>21条、第</w:t>
            </w:r>
            <w:r>
              <w:rPr>
                <w:rFonts w:hint="eastAsia" w:ascii="宋体" w:hAnsi="宋体" w:eastAsia="宋体" w:cs="宋体"/>
                <w:color w:val="auto"/>
                <w:kern w:val="0"/>
                <w:sz w:val="18"/>
                <w:szCs w:val="18"/>
              </w:rPr>
              <w:t>24条、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25条；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《贵州省环境保护条例》第54条；《放射性污染防治法》</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29条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第</w:t>
            </w:r>
            <w:r>
              <w:rPr>
                <w:rFonts w:hint="eastAsia" w:ascii="宋体" w:hAnsi="宋体" w:eastAsia="宋体" w:cs="宋体"/>
                <w:color w:val="auto"/>
                <w:kern w:val="0"/>
                <w:sz w:val="18"/>
                <w:szCs w:val="18"/>
                <w:lang w:val="en-US" w:eastAsia="zh-CN"/>
              </w:rPr>
              <w:t>50条、第51</w:t>
            </w:r>
            <w:r>
              <w:rPr>
                <w:rFonts w:hint="eastAsia" w:ascii="宋体" w:hAnsi="宋体" w:eastAsia="宋体" w:cs="宋体"/>
                <w:color w:val="auto"/>
                <w:kern w:val="0"/>
                <w:sz w:val="18"/>
                <w:szCs w:val="18"/>
              </w:rPr>
              <w:t>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r>
              <w:rPr>
                <w:rFonts w:hint="eastAsia" w:ascii="宋体" w:hAnsi="宋体" w:eastAsia="宋体" w:cs="宋体"/>
                <w:color w:val="auto"/>
                <w:kern w:val="0"/>
                <w:sz w:val="18"/>
                <w:szCs w:val="18"/>
                <w:lang w:val="en-US" w:eastAsia="zh-CN"/>
              </w:rPr>
              <w:t>核与辐射安全监管处</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8"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违反建设项目“三同时”制度的处罚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《中华人民共和国环境保护法》第41条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《环境噪声污染防治法》第48条；《固体废物污染环境防治法》第69条；；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《建设项目环境保护管理条例》第</w:t>
            </w:r>
            <w:r>
              <w:rPr>
                <w:rFonts w:hint="eastAsia" w:ascii="宋体" w:hAnsi="宋体" w:eastAsia="宋体" w:cs="宋体"/>
                <w:color w:val="auto"/>
                <w:kern w:val="0"/>
                <w:sz w:val="18"/>
                <w:szCs w:val="18"/>
                <w:lang w:val="en-US" w:eastAsia="zh-CN"/>
              </w:rPr>
              <w:t>22条、第23</w:t>
            </w:r>
            <w:r>
              <w:rPr>
                <w:rFonts w:hint="eastAsia" w:ascii="宋体" w:hAnsi="宋体" w:eastAsia="宋体" w:cs="宋体"/>
                <w:color w:val="auto"/>
                <w:kern w:val="0"/>
                <w:sz w:val="18"/>
                <w:szCs w:val="18"/>
              </w:rPr>
              <w:t>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《建设项目竣工环境保护验收</w:t>
            </w:r>
            <w:r>
              <w:rPr>
                <w:rFonts w:hint="eastAsia" w:ascii="宋体" w:hAnsi="宋体" w:eastAsia="宋体" w:cs="宋体"/>
                <w:color w:val="auto"/>
                <w:kern w:val="0"/>
                <w:sz w:val="18"/>
                <w:szCs w:val="18"/>
                <w:lang w:eastAsia="zh-CN"/>
              </w:rPr>
              <w:t>暂行</w:t>
            </w:r>
            <w:r>
              <w:rPr>
                <w:rFonts w:hint="eastAsia" w:ascii="宋体" w:hAnsi="宋体" w:eastAsia="宋体" w:cs="宋体"/>
                <w:color w:val="auto"/>
                <w:kern w:val="0"/>
                <w:sz w:val="18"/>
                <w:szCs w:val="18"/>
              </w:rPr>
              <w:t>办法》第</w:t>
            </w:r>
            <w:r>
              <w:rPr>
                <w:rFonts w:hint="eastAsia" w:ascii="宋体" w:hAnsi="宋体" w:eastAsia="宋体" w:cs="宋体"/>
                <w:color w:val="auto"/>
                <w:kern w:val="0"/>
                <w:sz w:val="18"/>
                <w:szCs w:val="18"/>
                <w:lang w:val="en-US" w:eastAsia="zh-CN"/>
              </w:rPr>
              <w:t>16</w:t>
            </w:r>
            <w:r>
              <w:rPr>
                <w:rFonts w:hint="eastAsia" w:ascii="宋体" w:hAnsi="宋体" w:eastAsia="宋体" w:cs="宋体"/>
                <w:color w:val="auto"/>
                <w:kern w:val="0"/>
                <w:sz w:val="18"/>
                <w:szCs w:val="18"/>
              </w:rPr>
              <w:t>条；《放射性污染防治法》30条。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1.受理责任：公示法定应当提交的材料；一次性告知补正材料；依法受理或不予受理申请（不予受理应告知理由），应当出具加盖本单位专用印章和注明日期的书面凭证。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2.审查责任：对申请人提交的申请材料进行审查，提出审查意见。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4.送达责任：在规定期限内向申请人送达行政许可证件；建立信息档案；公开有关信息。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5.事后监管责任：建立实施监督检查的运行机制和管理制度，加强对企业的不定期检查，根据检查结果提出限期整改、吊销许可证等处理决定。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r>
              <w:rPr>
                <w:rFonts w:hint="eastAsia" w:ascii="宋体" w:hAnsi="宋体" w:eastAsia="宋体" w:cs="宋体"/>
                <w:color w:val="auto"/>
                <w:kern w:val="0"/>
                <w:sz w:val="18"/>
                <w:szCs w:val="18"/>
                <w:lang w:val="en-US" w:eastAsia="zh-CN"/>
              </w:rPr>
              <w:t>核与辐射安全监管处</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逾期未完成限期治理任务的处罚</w:t>
            </w:r>
            <w:r>
              <w:rPr>
                <w:rFonts w:hint="eastAsia" w:ascii="宋体" w:hAnsi="宋体" w:eastAsia="宋体" w:cs="宋体"/>
                <w:color w:val="auto"/>
                <w:kern w:val="0"/>
                <w:sz w:val="18"/>
                <w:szCs w:val="18"/>
                <w:lang w:eastAsia="zh-CN"/>
              </w:rPr>
              <w:t>（固废、噪声）</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《贵州省环境保护条例》第</w:t>
            </w:r>
            <w:r>
              <w:rPr>
                <w:rFonts w:hint="eastAsia" w:ascii="宋体" w:hAnsi="宋体" w:eastAsia="宋体" w:cs="宋体"/>
                <w:color w:val="auto"/>
                <w:kern w:val="0"/>
                <w:sz w:val="18"/>
                <w:szCs w:val="18"/>
                <w:lang w:val="en-US" w:eastAsia="zh-CN"/>
              </w:rPr>
              <w:t>56</w:t>
            </w:r>
            <w:r>
              <w:rPr>
                <w:rFonts w:hint="eastAsia" w:ascii="宋体" w:hAnsi="宋体" w:eastAsia="宋体" w:cs="宋体"/>
                <w:color w:val="auto"/>
                <w:kern w:val="0"/>
                <w:sz w:val="18"/>
                <w:szCs w:val="18"/>
              </w:rPr>
              <w:t>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《环境噪声污染防治法》第52条；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《固体废物污染环境防治法》第81条。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厅法定代表人及分管领导、内设机构负责人、具体承办人员</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超过污染物排放标准或者超过重点污染排放总量控制指标排放污染物的处罚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《环境保护法》第60条；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《贵州省环境保护条例》第63条；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83</w:t>
            </w:r>
            <w:r>
              <w:rPr>
                <w:rFonts w:hint="eastAsia" w:ascii="宋体" w:hAnsi="宋体" w:eastAsia="宋体" w:cs="宋体"/>
                <w:color w:val="auto"/>
                <w:kern w:val="0"/>
                <w:sz w:val="18"/>
                <w:szCs w:val="18"/>
              </w:rPr>
              <w:t>条；《大气污染防治法》第99条、第123条；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《环境噪声污染防治法》第50条、 </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59</w:t>
            </w:r>
            <w:r>
              <w:rPr>
                <w:rFonts w:hint="eastAsia" w:ascii="宋体" w:hAnsi="宋体" w:eastAsia="宋体" w:cs="宋体"/>
                <w:color w:val="auto"/>
                <w:kern w:val="0"/>
                <w:sz w:val="18"/>
                <w:szCs w:val="18"/>
                <w:lang w:eastAsia="zh-CN"/>
              </w:rPr>
              <w:t>条</w:t>
            </w:r>
            <w:r>
              <w:rPr>
                <w:rFonts w:hint="eastAsia" w:ascii="宋体" w:hAnsi="宋体" w:eastAsia="宋体" w:cs="宋体"/>
                <w:color w:val="auto"/>
                <w:kern w:val="0"/>
                <w:sz w:val="18"/>
                <w:szCs w:val="18"/>
              </w:rPr>
              <w:t>。</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违反排污申报登记及其他登记制度的处罚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《环境噪声污染防治法》第49条；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《固体废物污染环境防治法》第68条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75条</w:t>
            </w:r>
            <w:r>
              <w:rPr>
                <w:rFonts w:hint="eastAsia" w:ascii="宋体" w:hAnsi="宋体" w:eastAsia="宋体" w:cs="宋体"/>
                <w:color w:val="auto"/>
                <w:kern w:val="0"/>
                <w:sz w:val="18"/>
                <w:szCs w:val="18"/>
              </w:rPr>
              <w:t>；《排放污染物申报登记管理规定》第15条；《污染源自动监控设施现场监督检查办法》第17条；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《危险化学品环境管理登记办法》第31条。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违反现场检查制度的处罚</w:t>
            </w:r>
          </w:p>
        </w:tc>
        <w:tc>
          <w:tcPr>
            <w:tcW w:w="147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81</w:t>
            </w:r>
            <w:r>
              <w:rPr>
                <w:rFonts w:hint="eastAsia" w:ascii="宋体" w:hAnsi="宋体" w:eastAsia="宋体" w:cs="宋体"/>
                <w:color w:val="auto"/>
                <w:kern w:val="0"/>
                <w:sz w:val="18"/>
                <w:szCs w:val="18"/>
              </w:rPr>
              <w:t>条；《大气污染防治法》第98条； 《环境噪声污染防治法》第55条；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《固体废物污染环境防治法》第70条；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《土壤污染防治法》第</w:t>
            </w:r>
            <w:r>
              <w:rPr>
                <w:rFonts w:hint="eastAsia" w:ascii="宋体" w:hAnsi="宋体" w:eastAsia="宋体" w:cs="宋体"/>
                <w:color w:val="auto"/>
                <w:kern w:val="0"/>
                <w:sz w:val="18"/>
                <w:szCs w:val="18"/>
                <w:lang w:val="en-US" w:eastAsia="zh-CN"/>
              </w:rPr>
              <w:t>85条、第93条；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《放射性污染防治法》第49条；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《污染源自动监控设施现场监督检查办法》第18条；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《贵州省环境保护条例》第57条。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生态环境执法监督处、核与辐射安全监管处、乌江赤水河流域环境监管局、清水江都柳江流域环境监管局、南北盘江红水河流域环境监管局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违反排污许可证管理制度的处罚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83</w:t>
            </w:r>
            <w:r>
              <w:rPr>
                <w:rFonts w:hint="eastAsia" w:ascii="宋体" w:hAnsi="宋体" w:eastAsia="宋体" w:cs="宋体"/>
                <w:color w:val="auto"/>
                <w:kern w:val="0"/>
                <w:sz w:val="18"/>
                <w:szCs w:val="18"/>
              </w:rPr>
              <w:t>条；《大气污染防治法》第99条、第123条；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《环境保护法》第63条；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《贵州省环境保护条例》第55条。</w:t>
            </w:r>
          </w:p>
        </w:tc>
        <w:tc>
          <w:tcPr>
            <w:tcW w:w="6066" w:type="dxa"/>
            <w:tcBorders>
              <w:left w:val="double" w:color="auto" w:sz="4" w:space="0"/>
            </w:tcBorders>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3"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违反污染事故管理规定的处罚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94</w:t>
            </w:r>
            <w:r>
              <w:rPr>
                <w:rFonts w:hint="eastAsia" w:ascii="宋体" w:hAnsi="宋体" w:eastAsia="宋体" w:cs="宋体"/>
                <w:color w:val="auto"/>
                <w:kern w:val="0"/>
                <w:sz w:val="18"/>
                <w:szCs w:val="18"/>
              </w:rPr>
              <w:t>条；《大气污染防治法》第122、127条；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《固体废物污染环境防治法》第82</w:t>
            </w:r>
            <w:r>
              <w:rPr>
                <w:rFonts w:hint="eastAsia" w:ascii="宋体" w:hAnsi="宋体" w:eastAsia="宋体" w:cs="宋体"/>
                <w:color w:val="auto"/>
                <w:kern w:val="0"/>
                <w:sz w:val="18"/>
                <w:szCs w:val="18"/>
                <w:lang w:eastAsia="zh-CN"/>
              </w:rPr>
              <w:t>条</w:t>
            </w:r>
            <w:r>
              <w:rPr>
                <w:rFonts w:hint="eastAsia" w:ascii="宋体" w:hAnsi="宋体" w:eastAsia="宋体" w:cs="宋体"/>
                <w:color w:val="auto"/>
                <w:kern w:val="0"/>
                <w:sz w:val="18"/>
                <w:szCs w:val="18"/>
              </w:rPr>
              <w:t>；</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《贵州省环境保护条例》第71条。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8"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不正常运行或者擅自拆除、闲置污染处理设施的处罚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《环境保护法》第63条第3项；《水污染防治法》第83条；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《大气污染防治法》第20</w:t>
            </w:r>
            <w:r>
              <w:rPr>
                <w:rFonts w:hint="eastAsia" w:ascii="宋体" w:hAnsi="宋体" w:eastAsia="宋体" w:cs="宋体"/>
                <w:color w:val="auto"/>
                <w:kern w:val="0"/>
                <w:sz w:val="18"/>
                <w:szCs w:val="18"/>
                <w:lang w:eastAsia="zh-CN"/>
              </w:rPr>
              <w:t>条</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99条、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100条、</w:t>
            </w:r>
            <w:r>
              <w:rPr>
                <w:rFonts w:hint="eastAsia" w:ascii="宋体" w:hAnsi="宋体" w:eastAsia="宋体" w:cs="宋体"/>
                <w:color w:val="auto"/>
                <w:kern w:val="0"/>
                <w:sz w:val="18"/>
                <w:szCs w:val="18"/>
              </w:rPr>
              <w:t>第123条；《环境噪声污染防治法》第15、</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50条；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《固体废物污染环境防治法》第68条、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75条；《贵州省环境保护条例》第43、</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65条。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Merge w:val="restart"/>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在禁止建设区域内违法建设的处罚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9</w:t>
            </w:r>
            <w:r>
              <w:rPr>
                <w:rFonts w:hint="eastAsia" w:ascii="宋体" w:hAnsi="宋体" w:eastAsia="宋体" w:cs="宋体"/>
                <w:color w:val="auto"/>
                <w:kern w:val="0"/>
                <w:sz w:val="18"/>
                <w:szCs w:val="18"/>
              </w:rPr>
              <w:t>1条；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大气污染防治法</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第118条；</w:t>
            </w:r>
            <w:r>
              <w:rPr>
                <w:rFonts w:hint="eastAsia" w:ascii="宋体" w:hAnsi="宋体" w:eastAsia="宋体" w:cs="宋体"/>
                <w:color w:val="auto"/>
                <w:kern w:val="0"/>
                <w:sz w:val="18"/>
                <w:szCs w:val="18"/>
              </w:rPr>
              <w:t>《固体废物污染环境防治法》第68条；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《贵州省环境保护条例》第32、60条。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r>
              <w:rPr>
                <w:rFonts w:hint="eastAsia" w:ascii="宋体" w:hAnsi="宋体" w:eastAsia="宋体" w:cs="宋体"/>
                <w:color w:val="auto"/>
                <w:kern w:val="0"/>
                <w:sz w:val="18"/>
                <w:szCs w:val="18"/>
              </w:rPr>
              <w:t xml:space="preserve">                                                                                                                                          </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110" w:type="dxa"/>
            <w:vMerge w:val="continue"/>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违反排污口设置规定的处罚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84</w:t>
            </w:r>
            <w:r>
              <w:rPr>
                <w:rFonts w:hint="eastAsia" w:ascii="宋体" w:hAnsi="宋体" w:eastAsia="宋体" w:cs="宋体"/>
                <w:color w:val="auto"/>
                <w:kern w:val="0"/>
                <w:sz w:val="18"/>
                <w:szCs w:val="18"/>
              </w:rPr>
              <w:t>条；《大气污染防治法》第20、100条；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《贵州省环境保护条例》</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42条、</w:t>
            </w:r>
            <w:r>
              <w:rPr>
                <w:rFonts w:hint="eastAsia" w:ascii="宋体" w:hAnsi="宋体" w:eastAsia="宋体" w:cs="宋体"/>
                <w:color w:val="auto"/>
                <w:kern w:val="0"/>
                <w:sz w:val="18"/>
                <w:szCs w:val="18"/>
              </w:rPr>
              <w:t>第</w:t>
            </w:r>
            <w:r>
              <w:rPr>
                <w:rFonts w:hint="eastAsia" w:ascii="宋体" w:hAnsi="宋体" w:eastAsia="宋体" w:cs="宋体"/>
                <w:color w:val="auto"/>
                <w:kern w:val="0"/>
                <w:sz w:val="18"/>
                <w:szCs w:val="18"/>
                <w:lang w:val="en-US" w:eastAsia="zh-CN"/>
              </w:rPr>
              <w:t>64</w:t>
            </w:r>
            <w:r>
              <w:rPr>
                <w:rFonts w:hint="eastAsia" w:ascii="宋体" w:hAnsi="宋体" w:eastAsia="宋体" w:cs="宋体"/>
                <w:color w:val="auto"/>
                <w:kern w:val="0"/>
                <w:sz w:val="18"/>
                <w:szCs w:val="18"/>
              </w:rPr>
              <w:t>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违反备案制度的处罚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《中华人民共和国放射性污染防治法》第29条</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《土壤污染防治法》第85条、第95条</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《放射性同位素与射线装置安全和防护条例》第23、56条</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《放射性同位素与射线装置安全许可管理办法》第35、38条</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《放射性物品运输安全管理条例》第37、66条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《放射性物品运输安全监督管理办法》第32条。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、乌江赤水河流域环境监管局、清水江都柳江流域环境监管局、南北盘江红水河流域环境监管局、土壤生态处</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违反报告制度的处罚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《放射性污染防治法》第49条。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立案责任：在检查中发现或者接到举报、控告的环境违法行为或者移送的环境违法案件，应予以审查，决定是否立案。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环保部门对涉及违法生产、销售、使用、转让、进口、贮存放射性同位素和射线装置的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对暂扣、吊销许可证或者其他许可证件的，由厅重大行政处罚案件审查小组集体研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依照生效的行政处罚决定，监督改正或吊销采矿许可证。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违反规定安装监测、自动监控设备的处罚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23</w:t>
            </w:r>
            <w:r>
              <w:rPr>
                <w:rFonts w:hint="eastAsia" w:ascii="宋体" w:hAnsi="宋体" w:eastAsia="宋体" w:cs="宋体"/>
                <w:color w:val="auto"/>
                <w:kern w:val="0"/>
                <w:sz w:val="18"/>
                <w:szCs w:val="18"/>
              </w:rPr>
              <w:t>条、第</w:t>
            </w:r>
            <w:r>
              <w:rPr>
                <w:rFonts w:hint="eastAsia" w:ascii="宋体" w:hAnsi="宋体" w:eastAsia="宋体" w:cs="宋体"/>
                <w:color w:val="auto"/>
                <w:kern w:val="0"/>
                <w:sz w:val="18"/>
                <w:szCs w:val="18"/>
                <w:lang w:val="en-US" w:eastAsia="zh-CN"/>
              </w:rPr>
              <w:t>82</w:t>
            </w:r>
            <w:r>
              <w:rPr>
                <w:rFonts w:hint="eastAsia" w:ascii="宋体" w:hAnsi="宋体" w:eastAsia="宋体" w:cs="宋体"/>
                <w:color w:val="auto"/>
                <w:kern w:val="0"/>
                <w:sz w:val="18"/>
                <w:szCs w:val="18"/>
              </w:rPr>
              <w:t>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《大气污染防治法》第24、100条； </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《污染源自动监控设施监督现场监督检查办法》第17条、第18条、19条、第20条、第22条；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《污染源自动监控管理办法》第16条、第17条、第18条。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1.现场取证责任：现场检查时，对企业现场违法行为进行调查取证，执法人员不得少于2人，并向当事人或有关人员出示证件。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2.立案审查责任：对案件的违法事实、收集的证据、办案的程序、法律适用、处罚种类和幅度等进行审查，提出处理意见。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3.告知申诉责任：在作出处罚决定之前，应当告知当事人作出处罚决定的事由、理由及依据，并告知当事人依法享有申诉的权力及申诉的时限。                                         4.决定公开责任：依法应当给予行政处罚的，制作盖有行政机关印章的行政处罚决定书，载明违法事实、证据、处罚种类和依据等内容，公开行政处罚决定。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5.送达责任：行政处罚决定书在决定后在规定时限内依照《民事诉讼法》的有关规定送达企业。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6.执行责任：督促企业履行生效的行政处罚决定，对逾期不履行的，依照《行政强制法》的规定执行。                                                 </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报告编制机构工作失职、不负责任或弄虚作假，致使报告失实的处罚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《环境影响评价法》第32条；《建设项目环境保护管理条例》第25条；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《危险化学品环境管理登记办法（试行）》第35条。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拒绝或者阻碍环境保护部门监督检查或者在接受监督检查时弄虚作假的、危险化学品生产使用企业没有及时申请办理危险化品环境管理登记，没有领取危险化品生产使用环境环境管理登记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未取得委托进行机动车船排气污染检测或在检测中弄虚作假的处罚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《大气污染防治法》第53</w:t>
            </w:r>
            <w:r>
              <w:rPr>
                <w:rFonts w:hint="eastAsia" w:ascii="宋体" w:hAnsi="宋体" w:eastAsia="宋体" w:cs="宋体"/>
                <w:color w:val="auto"/>
                <w:kern w:val="0"/>
                <w:sz w:val="18"/>
                <w:szCs w:val="18"/>
                <w:lang w:eastAsia="zh-CN"/>
              </w:rPr>
              <w:t>条</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109条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112条</w:t>
            </w:r>
            <w:r>
              <w:rPr>
                <w:rFonts w:hint="eastAsia" w:ascii="宋体" w:hAnsi="宋体" w:eastAsia="宋体" w:cs="宋体"/>
                <w:color w:val="auto"/>
                <w:kern w:val="0"/>
                <w:sz w:val="18"/>
                <w:szCs w:val="18"/>
              </w:rPr>
              <w:t>；</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《机动车环保检验机构管理规定》第3条。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1.立案责任：环保部门对依据监督检查职权或者通过举报、投诉、其他部门移送、上级部门交办等途径发现的违法行为线索，决定是否立案。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违法生产、销售、使用、转让、进口、贮存放射性同位素和射线装置的处罚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《放射性污染防治法》第53条；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《放射性同位素与射线装置安全和防护条例》第52条。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立案责任：在检查中发现或者接到举报、控告的环境违法行为或者移送的环境违法案件，应予以审查，决定是否立案。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环保部门对涉及违法生产、销售、使用、转让、进口、贮存放射性同位素和射线装置的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对暂扣、吊销许可证或者其他许可证件的，由厅重大行政处罚案件审查小组集体研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依照生效的行政处罚决定，监督改正或吊销采矿许可证。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擅自改变环境影响报告书（表）中所批准的电磁辐射设备功率</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《电磁辐射环境保护管理办法》第16条、第27条。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立案责任：在检查中发现或者接到举报、控告的擅自改变环境影响报告书（表）中所批准的电磁辐射设备功率等环境违法行为或者移送的此类环境违法案件，应予以审查，决定是否立案。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对暂扣、吊销许可证或者其他许可证件的，由厅重大行政处罚案件审查小组集体研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逾期不采取治理措施，经催告仍不治理的，可以指定有治理能力的单位代为治理。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无许可证生产或未按证生产或使用的处罚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《消耗臭氧层物质管理条例》第31条、第32条、第33条；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《废弃电器电子产品回收处理管理条例》第28条；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《新化学物质环境管理办法》第45条。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违法消耗臭氧层物质管理规定的处罚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《消耗臭氧层物质管理条例》第34条、第35条、第36条、第37条、第38条。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对未经许可擅自从事废旧放射源或者其他放射性固体废物的贮存、处置活动的；未按许可证或国家规定从事贮存、处置活动的处罚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《放射性污染防治法》第57条；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《放射性废物安全管理条例》第38条；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《放射性同位素与射线装置安全和防护管理办法》第57条。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立案责任：在检查中发现或者接到举报、控告的未经许可、批准或者不按照规定从事</w:t>
            </w:r>
            <w:r>
              <w:rPr>
                <w:rFonts w:hint="eastAsia" w:ascii="宋体" w:hAnsi="宋体" w:eastAsia="宋体" w:cs="宋体"/>
                <w:color w:val="auto"/>
                <w:kern w:val="0"/>
                <w:sz w:val="18"/>
                <w:szCs w:val="18"/>
                <w:lang w:eastAsia="zh-CN"/>
              </w:rPr>
              <w:t>放射性</w:t>
            </w:r>
            <w:r>
              <w:rPr>
                <w:rFonts w:hint="eastAsia" w:ascii="宋体" w:hAnsi="宋体" w:eastAsia="宋体" w:cs="宋体"/>
                <w:color w:val="auto"/>
                <w:kern w:val="0"/>
                <w:sz w:val="18"/>
                <w:szCs w:val="18"/>
              </w:rPr>
              <w:t>固体废物、废旧放射源收贮等环境违法行为或者移送的此类环境违法案件，应予以审查，决定是否立案。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对暂扣、吊销许可证或者其他许可证件的，由厅重大行政处罚案件审查小组集体研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逾期不采取治理措施，经催告仍不治理的，可以指定有治理能力的单位代为治理。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核</w:t>
            </w:r>
            <w:r>
              <w:rPr>
                <w:rFonts w:hint="eastAsia" w:ascii="宋体" w:hAnsi="宋体" w:eastAsia="宋体" w:cs="宋体"/>
                <w:color w:val="auto"/>
                <w:kern w:val="0"/>
                <w:sz w:val="18"/>
                <w:szCs w:val="18"/>
              </w:rPr>
              <w:t>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放射性固体废物贮存、处置单位未按照规定建立情况记录档案，或者未按照规定进行如实记录的处罚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《放射性废物安全管理条例》第39条。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立案责任：在检查中发现或者接到举报、控告的未按规定建立放射性固体废物贮存、处置情况记录档案，或者未按照规定如实记录等环境违法行为或者移送的此类环境违法案件，应予以审查，决定是否立案。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对违法托运放射性物品的处罚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《放射性物品运输安全管理条例》第59条、第61条、第63条。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立案责任：在检查中发现违法托运放射性物品等环境违法行为或者移送的此类环境违法案件，应予以审查，决定是否立案。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重点监管单位未履行义务的处罚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85条、第86条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省政府法制办2015-1号公告事项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向农用地违法排污的处罚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85条、第87条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bCs/>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违法用于土地复垦的处罚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85条、第89条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bCs/>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对第三方服务机构的处罚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85条、第90条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bCs/>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风险管控和修复活动违法的处罚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85条、第91条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未按照规定实施后期管理的处罚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85条、第92条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bCs/>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对常见的不履行土壤污染风险管控和修复义务行为的处罚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85条、第94条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其他类</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放射源、进口装有放射性同位素仪表登记备案</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《中华人民共和国放射性污染防治法》第28条；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《放射性同位素与射线装置安全和防护条例》第21、24、25条；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《省人民政府关于第一批取消下放管理层级转变管理方式的行政许可事项的决定》（省政府令第126号）</w:t>
            </w:r>
          </w:p>
        </w:tc>
        <w:tc>
          <w:tcPr>
            <w:tcW w:w="6066" w:type="dxa"/>
            <w:tcBorders>
              <w:left w:val="double" w:color="auto" w:sz="4" w:space="0"/>
            </w:tcBorders>
            <w:vAlign w:val="center"/>
          </w:tcPr>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1.受理责任：公示告知应当提交的材料；一次性告知补正材料；依法受理或不予受理（不予受理的告知理由）。</w:t>
            </w:r>
          </w:p>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2.审查责任：对申请备案的材料进行审查。</w:t>
            </w:r>
          </w:p>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3.决定责任：</w:t>
            </w:r>
            <w:r>
              <w:rPr>
                <w:rFonts w:hint="eastAsia" w:ascii="宋体" w:hAnsi="宋体" w:eastAsia="宋体" w:cs="宋体"/>
                <w:color w:val="auto"/>
                <w:kern w:val="0"/>
                <w:sz w:val="18"/>
                <w:szCs w:val="18"/>
              </w:rPr>
              <w:t>在规定期限内</w:t>
            </w:r>
            <w:r>
              <w:rPr>
                <w:rFonts w:hint="eastAsia" w:ascii="宋体" w:hAnsi="宋体" w:cs="宋体"/>
                <w:color w:val="auto"/>
                <w:kern w:val="0"/>
                <w:sz w:val="18"/>
                <w:szCs w:val="18"/>
                <w:lang w:eastAsia="zh-CN"/>
              </w:rPr>
              <w:t>予以</w:t>
            </w:r>
            <w:r>
              <w:rPr>
                <w:rFonts w:hint="eastAsia" w:ascii="宋体" w:hAnsi="宋体" w:eastAsia="宋体" w:cs="宋体"/>
                <w:color w:val="auto"/>
                <w:kern w:val="0"/>
                <w:sz w:val="18"/>
                <w:szCs w:val="18"/>
              </w:rPr>
              <w:t>备案。</w:t>
            </w:r>
          </w:p>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4.送达责任：在规定期限内制定并向申请人送达法律证件。</w:t>
            </w:r>
          </w:p>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5.事后监督责任：开展定期和不定期监督检查。</w:t>
            </w:r>
          </w:p>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6.其他法律法规规章文件规定应履行的责任。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《放射性同位素与射线装置安全和防护条例》（国务院令第449号）</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《省人民政府关于第一批取消下放管理层级转变管理方式的行政许可事项的决定》（省政府令第126号）</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核与辐射安全监管处、乌江赤水河流域环境监管局、清水江都柳江流域环境监管局、南北盘江红水河流域环境监管局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省政府法制办2015-1号公告事项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color w:val="auto"/>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其他类</w:t>
            </w:r>
          </w:p>
        </w:tc>
        <w:tc>
          <w:tcPr>
            <w:tcW w:w="1080" w:type="dxa"/>
            <w:shd w:val="clear" w:color="auto" w:fill="FFFFFF"/>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清洁发展机制项目初审</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《清洁发展机制项目运行管理办法（修订）》（国家发展改革委、科技部、外交部、财政部令2011年第11号）</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bCs/>
                <w:color w:val="auto"/>
                <w:sz w:val="18"/>
                <w:szCs w:val="18"/>
              </w:rPr>
              <w:t>《省人民政府关于2012年度取消和调整行政许可项目的决定》（省政府令第138号）</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1.受理责任：公示法定应当提交的材料；一次性告知补正材料；依法受理或不予受理申请（不予受理应当告知理由）。</w:t>
            </w:r>
          </w:p>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2.审查责任：对申请人提交的申请材料进行审查，提出审查意见。</w:t>
            </w:r>
          </w:p>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3.决定责任：在规定期限内作出书面决定（不予同意应说明理由）。</w:t>
            </w:r>
          </w:p>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4.送达责任：在规定期限内转送相关材料。</w:t>
            </w:r>
          </w:p>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5.事后监管责任：日常监督检查。</w:t>
            </w:r>
          </w:p>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color w:val="auto"/>
                <w:sz w:val="18"/>
                <w:szCs w:val="18"/>
              </w:rPr>
              <w:t>6.法律法规规章文件规定应履行的其他责任。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《清洁发展机制项目运行管理办法》第14、15、18条</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大气环境和应对气候变化处</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省政府法制办2015-1号公告事项</w:t>
            </w:r>
          </w:p>
        </w:tc>
      </w:tr>
    </w:tbl>
    <w:p/>
    <w:p/>
    <w:p/>
    <w:sectPr>
      <w:footerReference r:id="rId3" w:type="default"/>
      <w:pgSz w:w="16838" w:h="11906" w:orient="landscape"/>
      <w:pgMar w:top="1803" w:right="1440" w:bottom="1803" w:left="144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Quad Arrow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6pebnPAAAABQEAAA8AAAAAAAAAAQAgAAAA&#10;IgAAAGRycy9kb3ducmV2LnhtbFBLAQIUABQAAAAIAIdO4kD/RXQAogEAAEwDAAAOAAAAAAAAAAEA&#10;IAAAAB4BAABkcnMvZTJvRG9jLnhtbFBLBQYAAAAABgAGAFkBAAA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5091B"/>
    <w:multiLevelType w:val="singleLevel"/>
    <w:tmpl w:val="4A85091B"/>
    <w:lvl w:ilvl="0" w:tentative="0">
      <w:start w:val="1"/>
      <w:numFmt w:val="decimal"/>
      <w:lvlText w:val=" %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26AD"/>
    <w:rsid w:val="005004A2"/>
    <w:rsid w:val="005A63D7"/>
    <w:rsid w:val="006C0343"/>
    <w:rsid w:val="006C61C3"/>
    <w:rsid w:val="00A379DE"/>
    <w:rsid w:val="00A555EB"/>
    <w:rsid w:val="00C30ECE"/>
    <w:rsid w:val="00C644DD"/>
    <w:rsid w:val="00E66715"/>
    <w:rsid w:val="00F93409"/>
    <w:rsid w:val="01583832"/>
    <w:rsid w:val="01883711"/>
    <w:rsid w:val="02433E45"/>
    <w:rsid w:val="038534EA"/>
    <w:rsid w:val="039A564A"/>
    <w:rsid w:val="03D22E76"/>
    <w:rsid w:val="04402B7B"/>
    <w:rsid w:val="044A30E4"/>
    <w:rsid w:val="04542326"/>
    <w:rsid w:val="04633ABF"/>
    <w:rsid w:val="046F36CA"/>
    <w:rsid w:val="0670611D"/>
    <w:rsid w:val="084A63E3"/>
    <w:rsid w:val="084D349A"/>
    <w:rsid w:val="085D4644"/>
    <w:rsid w:val="08BB4345"/>
    <w:rsid w:val="09060939"/>
    <w:rsid w:val="09227486"/>
    <w:rsid w:val="097E175F"/>
    <w:rsid w:val="098576F2"/>
    <w:rsid w:val="09E047C0"/>
    <w:rsid w:val="0A5A3394"/>
    <w:rsid w:val="0AC9275C"/>
    <w:rsid w:val="0C932BE3"/>
    <w:rsid w:val="0DAB7CF9"/>
    <w:rsid w:val="0E017F52"/>
    <w:rsid w:val="0E2D3B6A"/>
    <w:rsid w:val="0E3137D5"/>
    <w:rsid w:val="0F022B71"/>
    <w:rsid w:val="0F1550CD"/>
    <w:rsid w:val="0F8C5859"/>
    <w:rsid w:val="0F8D1CC4"/>
    <w:rsid w:val="104A7DFE"/>
    <w:rsid w:val="11AF04C6"/>
    <w:rsid w:val="11FC3248"/>
    <w:rsid w:val="120C0AB8"/>
    <w:rsid w:val="123D07DF"/>
    <w:rsid w:val="124B1139"/>
    <w:rsid w:val="13C01DA7"/>
    <w:rsid w:val="145F73DC"/>
    <w:rsid w:val="14E32728"/>
    <w:rsid w:val="16745F63"/>
    <w:rsid w:val="17257747"/>
    <w:rsid w:val="174E73CD"/>
    <w:rsid w:val="17D5732B"/>
    <w:rsid w:val="17E33683"/>
    <w:rsid w:val="18E8179A"/>
    <w:rsid w:val="19FF3C0D"/>
    <w:rsid w:val="1A0538B4"/>
    <w:rsid w:val="1B080EE5"/>
    <w:rsid w:val="1B130F91"/>
    <w:rsid w:val="1B22243C"/>
    <w:rsid w:val="1BE30384"/>
    <w:rsid w:val="1C412F98"/>
    <w:rsid w:val="1C775C44"/>
    <w:rsid w:val="1CBD25DB"/>
    <w:rsid w:val="1CF14398"/>
    <w:rsid w:val="1E352351"/>
    <w:rsid w:val="1FFA32A0"/>
    <w:rsid w:val="2073221C"/>
    <w:rsid w:val="21397B3E"/>
    <w:rsid w:val="213C5773"/>
    <w:rsid w:val="21EE312E"/>
    <w:rsid w:val="22B573A3"/>
    <w:rsid w:val="230A091E"/>
    <w:rsid w:val="231F6ECE"/>
    <w:rsid w:val="236F5E31"/>
    <w:rsid w:val="242F1C1D"/>
    <w:rsid w:val="24477421"/>
    <w:rsid w:val="24745374"/>
    <w:rsid w:val="254E5FE5"/>
    <w:rsid w:val="26361ABD"/>
    <w:rsid w:val="26BE73FF"/>
    <w:rsid w:val="26CA739F"/>
    <w:rsid w:val="270B29B8"/>
    <w:rsid w:val="27355FE4"/>
    <w:rsid w:val="2766761B"/>
    <w:rsid w:val="27815DCC"/>
    <w:rsid w:val="28231BCB"/>
    <w:rsid w:val="28254BEB"/>
    <w:rsid w:val="285A736B"/>
    <w:rsid w:val="28700528"/>
    <w:rsid w:val="28AF6CF5"/>
    <w:rsid w:val="29DE1443"/>
    <w:rsid w:val="2AB87F1F"/>
    <w:rsid w:val="2ABF3641"/>
    <w:rsid w:val="2BAE66FE"/>
    <w:rsid w:val="2BBB344E"/>
    <w:rsid w:val="2D2E6D98"/>
    <w:rsid w:val="2E1E3FA7"/>
    <w:rsid w:val="2E9A2F6D"/>
    <w:rsid w:val="2EF624CD"/>
    <w:rsid w:val="2F0C123B"/>
    <w:rsid w:val="2F932D3F"/>
    <w:rsid w:val="2FA361EC"/>
    <w:rsid w:val="2FE10102"/>
    <w:rsid w:val="3106754E"/>
    <w:rsid w:val="31A80DCC"/>
    <w:rsid w:val="31C25802"/>
    <w:rsid w:val="31E54AFB"/>
    <w:rsid w:val="32CC28E8"/>
    <w:rsid w:val="32D52133"/>
    <w:rsid w:val="33463EAF"/>
    <w:rsid w:val="335B1A2D"/>
    <w:rsid w:val="345C6080"/>
    <w:rsid w:val="35341E54"/>
    <w:rsid w:val="3586235D"/>
    <w:rsid w:val="363162F3"/>
    <w:rsid w:val="36904695"/>
    <w:rsid w:val="381C70C2"/>
    <w:rsid w:val="39643EFE"/>
    <w:rsid w:val="399406F9"/>
    <w:rsid w:val="3A457284"/>
    <w:rsid w:val="3A6B1685"/>
    <w:rsid w:val="3A800513"/>
    <w:rsid w:val="3ABE1391"/>
    <w:rsid w:val="3AFE6173"/>
    <w:rsid w:val="3AFF08D7"/>
    <w:rsid w:val="3B5A1478"/>
    <w:rsid w:val="3B9C2B3D"/>
    <w:rsid w:val="3BE12925"/>
    <w:rsid w:val="3BEA49F5"/>
    <w:rsid w:val="3C823430"/>
    <w:rsid w:val="3C8F410B"/>
    <w:rsid w:val="3D1A2E16"/>
    <w:rsid w:val="3D704795"/>
    <w:rsid w:val="3DA126AD"/>
    <w:rsid w:val="3DD0590C"/>
    <w:rsid w:val="3F1A610F"/>
    <w:rsid w:val="404861E9"/>
    <w:rsid w:val="405F5EFB"/>
    <w:rsid w:val="413B46FB"/>
    <w:rsid w:val="421120F1"/>
    <w:rsid w:val="4282027C"/>
    <w:rsid w:val="434A5151"/>
    <w:rsid w:val="43697B90"/>
    <w:rsid w:val="459D780D"/>
    <w:rsid w:val="46755077"/>
    <w:rsid w:val="47121222"/>
    <w:rsid w:val="47515D8E"/>
    <w:rsid w:val="477F0BDD"/>
    <w:rsid w:val="48104EC7"/>
    <w:rsid w:val="48775B70"/>
    <w:rsid w:val="488B4404"/>
    <w:rsid w:val="48970FED"/>
    <w:rsid w:val="4976692F"/>
    <w:rsid w:val="49A17644"/>
    <w:rsid w:val="4A4E1859"/>
    <w:rsid w:val="4AFD3A5D"/>
    <w:rsid w:val="4B44280B"/>
    <w:rsid w:val="4C671669"/>
    <w:rsid w:val="4CC04756"/>
    <w:rsid w:val="4D1116BD"/>
    <w:rsid w:val="4D87681C"/>
    <w:rsid w:val="4DF92CF9"/>
    <w:rsid w:val="4FA00DF3"/>
    <w:rsid w:val="50236812"/>
    <w:rsid w:val="50D97C8C"/>
    <w:rsid w:val="50F850C6"/>
    <w:rsid w:val="512641A1"/>
    <w:rsid w:val="51CD7696"/>
    <w:rsid w:val="52666BA5"/>
    <w:rsid w:val="52A206C1"/>
    <w:rsid w:val="52A4182A"/>
    <w:rsid w:val="53062955"/>
    <w:rsid w:val="538D138F"/>
    <w:rsid w:val="53973E18"/>
    <w:rsid w:val="539F39B1"/>
    <w:rsid w:val="53BF72F1"/>
    <w:rsid w:val="541428FE"/>
    <w:rsid w:val="542417B3"/>
    <w:rsid w:val="550C2582"/>
    <w:rsid w:val="558B6B4F"/>
    <w:rsid w:val="559C1D94"/>
    <w:rsid w:val="58044A73"/>
    <w:rsid w:val="58801E3E"/>
    <w:rsid w:val="58AE7A56"/>
    <w:rsid w:val="59854F6F"/>
    <w:rsid w:val="5A812888"/>
    <w:rsid w:val="5B592E77"/>
    <w:rsid w:val="5B610E67"/>
    <w:rsid w:val="5BCB5EF3"/>
    <w:rsid w:val="5C672AA9"/>
    <w:rsid w:val="5C767D50"/>
    <w:rsid w:val="5CE5218F"/>
    <w:rsid w:val="5D1615A3"/>
    <w:rsid w:val="5D9F5134"/>
    <w:rsid w:val="5DF928CE"/>
    <w:rsid w:val="5E59549D"/>
    <w:rsid w:val="5E891984"/>
    <w:rsid w:val="5EBD1FDE"/>
    <w:rsid w:val="610B0B76"/>
    <w:rsid w:val="61C36BC6"/>
    <w:rsid w:val="634C5CEC"/>
    <w:rsid w:val="63773240"/>
    <w:rsid w:val="63C92636"/>
    <w:rsid w:val="63CE0D4C"/>
    <w:rsid w:val="650008C6"/>
    <w:rsid w:val="651D2255"/>
    <w:rsid w:val="65604B6F"/>
    <w:rsid w:val="65807C0C"/>
    <w:rsid w:val="65905B6D"/>
    <w:rsid w:val="667E6CB2"/>
    <w:rsid w:val="673063F8"/>
    <w:rsid w:val="674B0C82"/>
    <w:rsid w:val="68490000"/>
    <w:rsid w:val="6868145A"/>
    <w:rsid w:val="698A25EF"/>
    <w:rsid w:val="69B013F1"/>
    <w:rsid w:val="69C80E34"/>
    <w:rsid w:val="6AA047A1"/>
    <w:rsid w:val="6AD3024F"/>
    <w:rsid w:val="6B6752A6"/>
    <w:rsid w:val="6BC62A35"/>
    <w:rsid w:val="6C0E154A"/>
    <w:rsid w:val="6C7F3C23"/>
    <w:rsid w:val="6D1C666C"/>
    <w:rsid w:val="6D8640DF"/>
    <w:rsid w:val="6DAD5DC3"/>
    <w:rsid w:val="6DFD30D8"/>
    <w:rsid w:val="6E345F81"/>
    <w:rsid w:val="6EA42DC3"/>
    <w:rsid w:val="6EBB3888"/>
    <w:rsid w:val="6EEE7D1C"/>
    <w:rsid w:val="70060EF3"/>
    <w:rsid w:val="709C13F1"/>
    <w:rsid w:val="70D8237C"/>
    <w:rsid w:val="717164D9"/>
    <w:rsid w:val="71C3572E"/>
    <w:rsid w:val="71DC5D3E"/>
    <w:rsid w:val="71FF7992"/>
    <w:rsid w:val="72BD1054"/>
    <w:rsid w:val="72D54648"/>
    <w:rsid w:val="72F56656"/>
    <w:rsid w:val="74C95716"/>
    <w:rsid w:val="74FB18F9"/>
    <w:rsid w:val="751843BD"/>
    <w:rsid w:val="75441AAD"/>
    <w:rsid w:val="76A21E24"/>
    <w:rsid w:val="76A33755"/>
    <w:rsid w:val="779724CC"/>
    <w:rsid w:val="78974099"/>
    <w:rsid w:val="79493439"/>
    <w:rsid w:val="795006B6"/>
    <w:rsid w:val="795B5EF1"/>
    <w:rsid w:val="79734FBD"/>
    <w:rsid w:val="79CE545E"/>
    <w:rsid w:val="7A4675D0"/>
    <w:rsid w:val="7A5F5A01"/>
    <w:rsid w:val="7B9656D3"/>
    <w:rsid w:val="7BB425A2"/>
    <w:rsid w:val="7C67104E"/>
    <w:rsid w:val="7C852A4F"/>
    <w:rsid w:val="7D240F5F"/>
    <w:rsid w:val="7D2D792D"/>
    <w:rsid w:val="7D4B5A3B"/>
    <w:rsid w:val="7DA46349"/>
    <w:rsid w:val="7DC120B2"/>
    <w:rsid w:val="7EF91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left"/>
      <w:outlineLvl w:val="0"/>
    </w:pPr>
    <w:rPr>
      <w:rFonts w:hint="eastAsia" w:ascii="宋体" w:hAnsi="宋体"/>
      <w:kern w:val="44"/>
      <w:sz w:val="24"/>
      <w:szCs w:val="24"/>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index 7"/>
    <w:basedOn w:val="1"/>
    <w:next w:val="1"/>
    <w:qFormat/>
    <w:uiPriority w:val="0"/>
    <w:pPr>
      <w:ind w:left="2520"/>
    </w:pPr>
    <w:rPr>
      <w:rFonts w:ascii="宋体"/>
      <w:sz w:val="18"/>
      <w:szCs w:val="18"/>
    </w:rPr>
  </w:style>
  <w:style w:type="paragraph" w:styleId="6">
    <w:name w:val="HTML Preformatted"/>
    <w:basedOn w:val="1"/>
    <w:unhideWhenUsed/>
    <w:qFormat/>
    <w:uiPriority w:val="99"/>
    <w:rPr>
      <w:rFonts w:ascii="Courier New" w:hAnsi="Courier New" w:cs="Courier New"/>
      <w:sz w:val="20"/>
    </w:rPr>
  </w:style>
  <w:style w:type="paragraph" w:styleId="7">
    <w:name w:val="Normal (Web)"/>
    <w:basedOn w:val="1"/>
    <w:next w:val="5"/>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Strong"/>
    <w:qFormat/>
    <w:uiPriority w:val="0"/>
    <w:rPr>
      <w:b/>
    </w:rPr>
  </w:style>
  <w:style w:type="character" w:styleId="11">
    <w:name w:val="FollowedHyperlink"/>
    <w:basedOn w:val="9"/>
    <w:qFormat/>
    <w:uiPriority w:val="0"/>
    <w:rPr>
      <w:color w:val="800080"/>
      <w:u w:val="single"/>
    </w:rPr>
  </w:style>
  <w:style w:type="paragraph" w:customStyle="1" w:styleId="12">
    <w:name w:val="p0"/>
    <w:basedOn w:val="1"/>
    <w:qFormat/>
    <w:uiPriority w:val="0"/>
    <w:pPr>
      <w:widowControl/>
    </w:pPr>
    <w:rPr>
      <w:rFonts w:ascii="Calibri" w:hAnsi="Calibri" w:cs="Calibri"/>
      <w:kern w:val="0"/>
      <w:szCs w:val="21"/>
    </w:rPr>
  </w:style>
  <w:style w:type="paragraph" w:customStyle="1" w:styleId="1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
    <w:name w:val="p16"/>
    <w:basedOn w:val="1"/>
    <w:qFormat/>
    <w:uiPriority w:val="0"/>
    <w:pPr>
      <w:widowControl/>
      <w:ind w:firstLine="420"/>
    </w:pPr>
    <w:rPr>
      <w:rFonts w:ascii="Calibri" w:hAnsi="Calibri" w:cs="宋体"/>
      <w:kern w:val="0"/>
      <w:szCs w:val="21"/>
    </w:rPr>
  </w:style>
  <w:style w:type="paragraph" w:customStyle="1" w:styleId="16">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17">
    <w:name w:val="页眉 Char"/>
    <w:basedOn w:val="9"/>
    <w:link w:val="4"/>
    <w:qFormat/>
    <w:uiPriority w:val="0"/>
    <w:rPr>
      <w:kern w:val="2"/>
      <w:sz w:val="18"/>
      <w:szCs w:val="18"/>
    </w:rPr>
  </w:style>
  <w:style w:type="character" w:customStyle="1" w:styleId="18">
    <w:name w:val="font31"/>
    <w:basedOn w:val="9"/>
    <w:qFormat/>
    <w:uiPriority w:val="0"/>
    <w:rPr>
      <w:rFonts w:hint="eastAsia" w:ascii="宋体" w:hAnsi="宋体" w:eastAsia="宋体"/>
      <w:b/>
      <w:bCs/>
      <w:color w:val="000000"/>
      <w:sz w:val="18"/>
      <w:szCs w:val="18"/>
      <w:u w:val="none"/>
    </w:rPr>
  </w:style>
  <w:style w:type="character" w:customStyle="1" w:styleId="19">
    <w:name w:val="font61"/>
    <w:basedOn w:val="9"/>
    <w:qFormat/>
    <w:uiPriority w:val="0"/>
    <w:rPr>
      <w:rFonts w:hint="eastAsia" w:ascii="宋体" w:hAnsi="宋体" w:eastAsia="宋体"/>
      <w:color w:val="000000"/>
      <w:sz w:val="20"/>
      <w:szCs w:val="20"/>
      <w:u w:val="none"/>
    </w:rPr>
  </w:style>
  <w:style w:type="character" w:customStyle="1" w:styleId="20">
    <w:name w:val="font01"/>
    <w:basedOn w:val="9"/>
    <w:qFormat/>
    <w:uiPriority w:val="0"/>
    <w:rPr>
      <w:rFonts w:ascii="宋体" w:eastAsia="宋体" w:cs="宋体"/>
      <w:color w:val="000000"/>
      <w:sz w:val="18"/>
      <w:szCs w:val="18"/>
      <w:u w:val="none"/>
      <w:lang w:bidi="ar-SA"/>
    </w:rPr>
  </w:style>
  <w:style w:type="character" w:customStyle="1" w:styleId="21">
    <w:name w:val="font51"/>
    <w:basedOn w:val="9"/>
    <w:qFormat/>
    <w:uiPriority w:val="0"/>
    <w:rPr>
      <w:rFonts w:hint="eastAsia" w:ascii="宋体" w:hAnsi="宋体" w:eastAsia="宋体" w:cs="宋体"/>
      <w:color w:val="000000"/>
      <w:sz w:val="20"/>
      <w:szCs w:val="20"/>
      <w:u w:val="none"/>
    </w:rPr>
  </w:style>
  <w:style w:type="character" w:customStyle="1" w:styleId="22">
    <w:name w:val="font41"/>
    <w:basedOn w:val="9"/>
    <w:qFormat/>
    <w:uiPriority w:val="0"/>
    <w:rPr>
      <w:rFonts w:hint="eastAsia" w:ascii="宋体" w:hAnsi="宋体" w:eastAsia="宋体" w:cs="宋体"/>
      <w:color w:val="FF0000"/>
      <w:sz w:val="16"/>
      <w:szCs w:val="16"/>
      <w:u w:val="none"/>
    </w:rPr>
  </w:style>
  <w:style w:type="character" w:customStyle="1" w:styleId="23">
    <w:name w:val="font101"/>
    <w:basedOn w:val="9"/>
    <w:qFormat/>
    <w:uiPriority w:val="0"/>
    <w:rPr>
      <w:rFonts w:hint="eastAsia" w:ascii="宋体" w:hAnsi="宋体" w:eastAsia="宋体" w:cs="宋体"/>
      <w:color w:val="000000"/>
      <w:sz w:val="16"/>
      <w:szCs w:val="16"/>
      <w:u w:val="none"/>
    </w:rPr>
  </w:style>
  <w:style w:type="character" w:customStyle="1" w:styleId="24">
    <w:name w:val="font81"/>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397</Pages>
  <Words>388682</Words>
  <Characters>403500</Characters>
  <Lines>110</Lines>
  <Paragraphs>31</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2019-01-10T03:59:00Z</dcterms:created>
  <dc:creator>Administrator</dc:creator>
  <cp:lastModifiedBy>卢鑫</cp:lastModifiedBy>
  <cp:lastPrinted>2019-05-29T01:15:00Z</cp:lastPrinted>
  <dcterms:modified xsi:type="dcterms:W3CDTF">2019-06-28T09:45:19Z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