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5477D">
      <w:pPr>
        <w:spacing w:line="500" w:lineRule="exact"/>
        <w:jc w:val="center"/>
        <w:rPr>
          <w:rFonts w:hint="eastAsia" w:ascii="黑体" w:hAnsi="宋体" w:eastAsia="黑体" w:cs="黑体"/>
          <w:b/>
          <w:kern w:val="0"/>
          <w:sz w:val="44"/>
          <w:szCs w:val="44"/>
          <w:lang w:eastAsia="zh-CN"/>
        </w:rPr>
      </w:pPr>
      <w:bookmarkStart w:id="0" w:name="_Toc17309"/>
      <w:r>
        <w:rPr>
          <w:rFonts w:hint="eastAsia" w:ascii="黑体" w:hAnsi="宋体" w:eastAsia="黑体" w:cs="黑体"/>
          <w:b/>
          <w:kern w:val="0"/>
          <w:sz w:val="44"/>
          <w:szCs w:val="44"/>
        </w:rPr>
        <w:t>贵州省生态环境厅</w:t>
      </w:r>
      <w:bookmarkEnd w:id="0"/>
      <w:r>
        <w:rPr>
          <w:rFonts w:hint="eastAsia" w:ascii="黑体" w:hAnsi="宋体" w:eastAsia="黑体" w:cs="黑体"/>
          <w:b/>
          <w:kern w:val="0"/>
          <w:sz w:val="44"/>
          <w:szCs w:val="44"/>
          <w:lang w:eastAsia="zh-CN"/>
        </w:rPr>
        <w:t>权力清单和责任清单目录</w:t>
      </w:r>
    </w:p>
    <w:p w14:paraId="50A4015F">
      <w:pPr>
        <w:spacing w:beforeAutospacing="0" w:line="240" w:lineRule="auto"/>
        <w:ind w:firstLine="0" w:firstLineChars="0"/>
        <w:jc w:val="both"/>
        <w:rPr>
          <w:rFonts w:hint="eastAsia" w:ascii="仿宋_GB2312" w:hAnsi="仿宋_GB2312" w:eastAsia="仿宋_GB2312" w:cs="仿宋_GB2312"/>
          <w:b/>
          <w:kern w:val="0"/>
          <w:sz w:val="24"/>
          <w:szCs w:val="24"/>
          <w:lang w:val="en-US" w:eastAsia="zh-CN"/>
        </w:rPr>
      </w:pPr>
    </w:p>
    <w:tbl>
      <w:tblPr>
        <w:tblStyle w:val="8"/>
        <w:tblW w:w="15465" w:type="dxa"/>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00"/>
        <w:gridCol w:w="1080"/>
        <w:gridCol w:w="1470"/>
        <w:gridCol w:w="6066"/>
        <w:gridCol w:w="1467"/>
        <w:gridCol w:w="1572"/>
        <w:gridCol w:w="1170"/>
        <w:gridCol w:w="1110"/>
      </w:tblGrid>
      <w:tr w14:paraId="3C80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30" w:type="dxa"/>
            <w:vAlign w:val="center"/>
          </w:tcPr>
          <w:p w14:paraId="32426217">
            <w:pPr>
              <w:spacing w:line="240" w:lineRule="exact"/>
              <w:jc w:val="center"/>
              <w:rPr>
                <w:rFonts w:hint="eastAsia" w:ascii="黑体" w:hAnsi="黑体" w:eastAsia="黑体" w:cs="宋体"/>
                <w:szCs w:val="21"/>
              </w:rPr>
            </w:pPr>
            <w:r>
              <w:rPr>
                <w:rFonts w:hint="eastAsia" w:ascii="黑体" w:hAnsi="黑体" w:eastAsia="黑体" w:cs="宋体"/>
                <w:szCs w:val="21"/>
              </w:rPr>
              <w:t>序号</w:t>
            </w:r>
          </w:p>
        </w:tc>
        <w:tc>
          <w:tcPr>
            <w:tcW w:w="900" w:type="dxa"/>
            <w:vAlign w:val="center"/>
          </w:tcPr>
          <w:p w14:paraId="43382EED">
            <w:pPr>
              <w:spacing w:line="240" w:lineRule="exact"/>
              <w:jc w:val="center"/>
              <w:rPr>
                <w:rFonts w:hint="eastAsia" w:ascii="黑体" w:hAnsi="黑体" w:eastAsia="黑体" w:cs="宋体"/>
                <w:szCs w:val="21"/>
              </w:rPr>
            </w:pPr>
            <w:r>
              <w:rPr>
                <w:rFonts w:hint="eastAsia" w:ascii="黑体" w:hAnsi="黑体" w:eastAsia="黑体" w:cs="宋体"/>
                <w:szCs w:val="21"/>
              </w:rPr>
              <w:t>权力类型</w:t>
            </w:r>
          </w:p>
        </w:tc>
        <w:tc>
          <w:tcPr>
            <w:tcW w:w="1080" w:type="dxa"/>
            <w:vAlign w:val="center"/>
          </w:tcPr>
          <w:p w14:paraId="0FF99834">
            <w:pPr>
              <w:spacing w:line="240" w:lineRule="exact"/>
              <w:jc w:val="center"/>
              <w:rPr>
                <w:rFonts w:hint="eastAsia" w:ascii="黑体" w:hAnsi="黑体" w:eastAsia="黑体" w:cs="宋体"/>
                <w:szCs w:val="21"/>
              </w:rPr>
            </w:pPr>
            <w:r>
              <w:rPr>
                <w:rFonts w:hint="eastAsia" w:ascii="黑体" w:hAnsi="黑体" w:eastAsia="黑体" w:cs="宋体"/>
                <w:szCs w:val="21"/>
              </w:rPr>
              <w:t>权力</w:t>
            </w:r>
          </w:p>
          <w:p w14:paraId="476534D3">
            <w:pPr>
              <w:spacing w:line="240" w:lineRule="exact"/>
              <w:jc w:val="center"/>
              <w:rPr>
                <w:rFonts w:hint="eastAsia" w:ascii="黑体" w:hAnsi="黑体" w:eastAsia="黑体" w:cs="宋体"/>
                <w:szCs w:val="21"/>
              </w:rPr>
            </w:pPr>
            <w:r>
              <w:rPr>
                <w:rFonts w:hint="eastAsia" w:ascii="黑体" w:hAnsi="黑体" w:eastAsia="黑体" w:cs="宋体"/>
                <w:szCs w:val="21"/>
              </w:rPr>
              <w:t>名称</w:t>
            </w:r>
          </w:p>
        </w:tc>
        <w:tc>
          <w:tcPr>
            <w:tcW w:w="1470" w:type="dxa"/>
            <w:vAlign w:val="center"/>
          </w:tcPr>
          <w:p w14:paraId="3457C014">
            <w:pPr>
              <w:spacing w:line="240" w:lineRule="exact"/>
              <w:jc w:val="center"/>
              <w:rPr>
                <w:rFonts w:hint="eastAsia" w:ascii="黑体" w:hAnsi="黑体" w:eastAsia="黑体" w:cs="宋体"/>
                <w:szCs w:val="21"/>
              </w:rPr>
            </w:pPr>
            <w:r>
              <w:rPr>
                <w:rFonts w:hint="eastAsia" w:ascii="黑体" w:hAnsi="黑体" w:eastAsia="黑体" w:cs="宋体"/>
                <w:szCs w:val="21"/>
              </w:rPr>
              <w:t>权力依据</w:t>
            </w:r>
          </w:p>
        </w:tc>
        <w:tc>
          <w:tcPr>
            <w:tcW w:w="6066" w:type="dxa"/>
            <w:tcBorders>
              <w:left w:val="double" w:color="auto" w:sz="4" w:space="0"/>
            </w:tcBorders>
            <w:vAlign w:val="center"/>
          </w:tcPr>
          <w:p w14:paraId="23577382">
            <w:pPr>
              <w:spacing w:line="240" w:lineRule="exact"/>
              <w:jc w:val="center"/>
              <w:rPr>
                <w:rFonts w:hint="eastAsia" w:ascii="黑体" w:hAnsi="黑体" w:eastAsia="黑体" w:cs="宋体"/>
                <w:szCs w:val="21"/>
              </w:rPr>
            </w:pPr>
            <w:r>
              <w:rPr>
                <w:rFonts w:hint="eastAsia" w:ascii="黑体" w:hAnsi="黑体" w:eastAsia="黑体" w:cs="宋体"/>
                <w:szCs w:val="21"/>
              </w:rPr>
              <w:t>责任事项</w:t>
            </w:r>
          </w:p>
        </w:tc>
        <w:tc>
          <w:tcPr>
            <w:tcW w:w="1467" w:type="dxa"/>
            <w:vAlign w:val="center"/>
          </w:tcPr>
          <w:p w14:paraId="362AE140">
            <w:pPr>
              <w:spacing w:line="240" w:lineRule="exact"/>
              <w:jc w:val="center"/>
              <w:rPr>
                <w:rFonts w:hint="eastAsia" w:ascii="黑体" w:hAnsi="黑体" w:eastAsia="黑体" w:cs="宋体"/>
                <w:szCs w:val="21"/>
              </w:rPr>
            </w:pPr>
            <w:r>
              <w:rPr>
                <w:rFonts w:hint="eastAsia" w:ascii="黑体" w:hAnsi="黑体" w:eastAsia="黑体" w:cs="宋体"/>
                <w:szCs w:val="21"/>
              </w:rPr>
              <w:t>责任事项</w:t>
            </w:r>
          </w:p>
          <w:p w14:paraId="26F7B300">
            <w:pPr>
              <w:spacing w:line="240" w:lineRule="exact"/>
              <w:jc w:val="center"/>
              <w:rPr>
                <w:rFonts w:hint="eastAsia" w:ascii="黑体" w:hAnsi="黑体" w:eastAsia="黑体" w:cs="宋体"/>
                <w:szCs w:val="21"/>
              </w:rPr>
            </w:pPr>
            <w:r>
              <w:rPr>
                <w:rFonts w:hint="eastAsia" w:ascii="黑体" w:hAnsi="黑体" w:eastAsia="黑体" w:cs="宋体"/>
                <w:szCs w:val="21"/>
              </w:rPr>
              <w:t>依据</w:t>
            </w:r>
          </w:p>
        </w:tc>
        <w:tc>
          <w:tcPr>
            <w:tcW w:w="1572" w:type="dxa"/>
            <w:vAlign w:val="center"/>
          </w:tcPr>
          <w:p w14:paraId="12F8DB7C">
            <w:pPr>
              <w:spacing w:line="240" w:lineRule="exact"/>
              <w:jc w:val="center"/>
              <w:rPr>
                <w:rFonts w:hint="eastAsia" w:ascii="黑体" w:hAnsi="黑体" w:eastAsia="黑体" w:cs="宋体"/>
                <w:szCs w:val="21"/>
              </w:rPr>
            </w:pPr>
            <w:r>
              <w:rPr>
                <w:rFonts w:hint="eastAsia" w:ascii="黑体" w:hAnsi="黑体" w:eastAsia="黑体" w:cs="宋体"/>
                <w:szCs w:val="21"/>
              </w:rPr>
              <w:t>责任处室</w:t>
            </w:r>
          </w:p>
        </w:tc>
        <w:tc>
          <w:tcPr>
            <w:tcW w:w="1170" w:type="dxa"/>
            <w:vAlign w:val="center"/>
          </w:tcPr>
          <w:p w14:paraId="0463FAA8">
            <w:pPr>
              <w:spacing w:line="240" w:lineRule="exact"/>
              <w:jc w:val="center"/>
              <w:rPr>
                <w:rFonts w:hint="eastAsia" w:ascii="黑体" w:hAnsi="黑体" w:eastAsia="黑体" w:cs="宋体"/>
                <w:szCs w:val="21"/>
              </w:rPr>
            </w:pPr>
            <w:r>
              <w:rPr>
                <w:rFonts w:hint="eastAsia" w:ascii="黑体" w:hAnsi="黑体" w:eastAsia="黑体" w:cs="宋体"/>
                <w:szCs w:val="21"/>
              </w:rPr>
              <w:t>追责对象范围</w:t>
            </w:r>
          </w:p>
        </w:tc>
        <w:tc>
          <w:tcPr>
            <w:tcW w:w="1110" w:type="dxa"/>
            <w:vAlign w:val="center"/>
          </w:tcPr>
          <w:p w14:paraId="6567AE3C">
            <w:pPr>
              <w:spacing w:line="240" w:lineRule="exact"/>
              <w:jc w:val="center"/>
              <w:rPr>
                <w:rFonts w:hint="eastAsia" w:ascii="黑体" w:hAnsi="黑体" w:eastAsia="黑体" w:cs="宋体"/>
                <w:szCs w:val="21"/>
              </w:rPr>
            </w:pPr>
            <w:r>
              <w:rPr>
                <w:rFonts w:hint="eastAsia" w:ascii="黑体" w:hAnsi="黑体" w:eastAsia="黑体" w:cs="宋体"/>
                <w:szCs w:val="21"/>
              </w:rPr>
              <w:t>备注</w:t>
            </w:r>
          </w:p>
        </w:tc>
      </w:tr>
      <w:tr w14:paraId="54B0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396594D">
            <w:pPr>
              <w:numPr>
                <w:ilvl w:val="0"/>
                <w:numId w:val="1"/>
              </w:numPr>
              <w:spacing w:line="240" w:lineRule="exact"/>
              <w:ind w:left="425" w:leftChars="0" w:hanging="425" w:firstLineChars="0"/>
              <w:jc w:val="both"/>
              <w:rPr>
                <w:rFonts w:hint="eastAsia" w:ascii="黑体" w:hAnsi="黑体" w:eastAsia="黑体" w:cs="黑体"/>
                <w:b/>
                <w:bCs/>
                <w:szCs w:val="21"/>
              </w:rPr>
            </w:pPr>
          </w:p>
        </w:tc>
        <w:tc>
          <w:tcPr>
            <w:tcW w:w="900" w:type="dxa"/>
            <w:vAlign w:val="center"/>
          </w:tcPr>
          <w:p w14:paraId="7810AAC2">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792C673E">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转移固体废物</w:t>
            </w:r>
            <w:r>
              <w:rPr>
                <w:rFonts w:hint="eastAsia" w:ascii="宋体" w:hAnsi="宋体" w:eastAsia="宋体" w:cs="宋体"/>
                <w:color w:val="auto"/>
                <w:kern w:val="0"/>
                <w:sz w:val="18"/>
                <w:szCs w:val="18"/>
                <w:lang w:eastAsia="zh-CN"/>
              </w:rPr>
              <w:t>、危险废物</w:t>
            </w:r>
            <w:r>
              <w:rPr>
                <w:rFonts w:hint="eastAsia" w:ascii="宋体" w:hAnsi="宋体" w:eastAsia="宋体" w:cs="宋体"/>
                <w:color w:val="auto"/>
                <w:kern w:val="0"/>
                <w:sz w:val="18"/>
                <w:szCs w:val="18"/>
              </w:rPr>
              <w:t>出省行政区域贮存、处置</w:t>
            </w:r>
            <w:bookmarkStart w:id="1" w:name="_GoBack"/>
            <w:r>
              <w:rPr>
                <w:rFonts w:hint="eastAsia" w:ascii="宋体" w:hAnsi="宋体" w:eastAsia="宋体" w:cs="宋体"/>
                <w:color w:val="auto"/>
                <w:kern w:val="0"/>
                <w:sz w:val="18"/>
                <w:szCs w:val="18"/>
              </w:rPr>
              <w:t>的</w:t>
            </w:r>
            <w:bookmarkEnd w:id="1"/>
            <w:r>
              <w:rPr>
                <w:rFonts w:hint="eastAsia" w:ascii="宋体" w:hAnsi="宋体" w:eastAsia="宋体" w:cs="宋体"/>
                <w:color w:val="auto"/>
                <w:kern w:val="0"/>
                <w:sz w:val="18"/>
                <w:szCs w:val="18"/>
              </w:rPr>
              <w:t>批准</w:t>
            </w:r>
          </w:p>
        </w:tc>
        <w:tc>
          <w:tcPr>
            <w:tcW w:w="1470" w:type="dxa"/>
            <w:vAlign w:val="center"/>
          </w:tcPr>
          <w:p w14:paraId="329EA536">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《固体废物污染环境防治法》第23条；</w:t>
            </w:r>
          </w:p>
          <w:p w14:paraId="20CE3F5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《危险废物转移联单管理办法》第3条、第11条 </w:t>
            </w:r>
          </w:p>
        </w:tc>
        <w:tc>
          <w:tcPr>
            <w:tcW w:w="6066" w:type="dxa"/>
            <w:tcBorders>
              <w:left w:val="double" w:color="auto" w:sz="4" w:space="0"/>
            </w:tcBorders>
            <w:vAlign w:val="center"/>
          </w:tcPr>
          <w:p w14:paraId="06C76B2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1.受理责任：公示法定应当提交的材料；一次性告知补正材料；依法受理或不予受理申请（不予受理应告知理由）。</w:t>
            </w:r>
          </w:p>
          <w:p w14:paraId="1F8D03F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2.审查责任：对申请人提交的申请材料进行审查，提出审查意见。</w:t>
            </w:r>
          </w:p>
          <w:p w14:paraId="5EEA9EE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3.决定责任：在规定期限内作出许可或不予许可的书面决定；不予许可应告知理由，并告知相对人申请复议或提起行政诉讼的权利。</w:t>
            </w:r>
          </w:p>
          <w:p w14:paraId="67FA864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4.送达责任：在规定期限内向申请人送达行政许可证件；建立信息档案；公开有关信息。</w:t>
            </w:r>
          </w:p>
          <w:p w14:paraId="6B7A840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5.事后监管责任：建立实施监督检查的运行机制和管理制度，加强对企业的不定期检查，根据检查结果提出限期整改、吊销许可证等处理决定。</w:t>
            </w:r>
          </w:p>
          <w:p w14:paraId="35C16D6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6.法律法规规章文件规定应履行的其他责任。</w:t>
            </w:r>
          </w:p>
        </w:tc>
        <w:tc>
          <w:tcPr>
            <w:tcW w:w="1467" w:type="dxa"/>
            <w:vAlign w:val="center"/>
          </w:tcPr>
          <w:p w14:paraId="5E0FA35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p>
          <w:p w14:paraId="66D1DBA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《固体废物污染环境防治法》第11、12、13、14、15条；</w:t>
            </w:r>
          </w:p>
          <w:p w14:paraId="2B01E31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《危险废物转移联单管理办法》第3、4、11、13条。</w:t>
            </w:r>
          </w:p>
        </w:tc>
        <w:tc>
          <w:tcPr>
            <w:tcW w:w="1572" w:type="dxa"/>
            <w:vAlign w:val="center"/>
          </w:tcPr>
          <w:p w14:paraId="5198D844">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固体废物与化学品处</w:t>
            </w:r>
            <w:r>
              <w:rPr>
                <w:rFonts w:hint="eastAsia" w:ascii="宋体" w:hAnsi="宋体" w:eastAsia="宋体" w:cs="宋体"/>
                <w:color w:val="auto"/>
                <w:kern w:val="0"/>
                <w:sz w:val="18"/>
                <w:szCs w:val="18"/>
              </w:rPr>
              <w:t>、派驻政务服务中心窗口</w:t>
            </w:r>
          </w:p>
        </w:tc>
        <w:tc>
          <w:tcPr>
            <w:tcW w:w="1170" w:type="dxa"/>
            <w:vAlign w:val="center"/>
          </w:tcPr>
          <w:p w14:paraId="59B5B85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3F6428D9">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3686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30" w:type="dxa"/>
            <w:vAlign w:val="center"/>
          </w:tcPr>
          <w:p w14:paraId="0BD08DB3">
            <w:pPr>
              <w:numPr>
                <w:ilvl w:val="0"/>
                <w:numId w:val="1"/>
              </w:numPr>
              <w:spacing w:line="240" w:lineRule="exact"/>
              <w:ind w:left="425" w:leftChars="0" w:hanging="425" w:firstLineChars="0"/>
              <w:jc w:val="both"/>
              <w:rPr>
                <w:rFonts w:hint="eastAsia" w:ascii="黑体" w:hAnsi="黑体" w:eastAsia="黑体" w:cs="黑体"/>
                <w:b/>
                <w:bCs/>
                <w:szCs w:val="21"/>
              </w:rPr>
            </w:pPr>
          </w:p>
        </w:tc>
        <w:tc>
          <w:tcPr>
            <w:tcW w:w="900" w:type="dxa"/>
            <w:vAlign w:val="center"/>
          </w:tcPr>
          <w:p w14:paraId="1BBB22B1">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12F3C6B3">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权限内从事收集、贮存、处置危险废物经营活动和从事利用危险废物经营活动的许可</w:t>
            </w:r>
          </w:p>
        </w:tc>
        <w:tc>
          <w:tcPr>
            <w:tcW w:w="1470" w:type="dxa"/>
            <w:vAlign w:val="center"/>
          </w:tcPr>
          <w:p w14:paraId="6A29396D">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《固体废物污染环境防治法》第57条；</w:t>
            </w:r>
          </w:p>
          <w:p w14:paraId="4ADB0B9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《危险废物经营许可证管理办法》第7条。</w:t>
            </w:r>
            <w:r>
              <w:rPr>
                <w:rFonts w:hint="eastAsia" w:ascii="宋体" w:hAnsi="宋体" w:eastAsia="宋体" w:cs="宋体"/>
                <w:color w:val="auto"/>
                <w:kern w:val="0"/>
                <w:sz w:val="18"/>
                <w:szCs w:val="18"/>
              </w:rPr>
              <w:br w:type="textWrapping"/>
            </w:r>
          </w:p>
        </w:tc>
        <w:tc>
          <w:tcPr>
            <w:tcW w:w="6066" w:type="dxa"/>
            <w:tcBorders>
              <w:left w:val="double" w:color="auto" w:sz="4" w:space="0"/>
            </w:tcBorders>
            <w:vAlign w:val="center"/>
          </w:tcPr>
          <w:p w14:paraId="6A14071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1.受理责任：公示法定应当提交的材料；一次性告知补正材料；依法受理或不予受理申请（不予受理应告知理由）。</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2.审查责任：对申请人提交的申请材料进行审查，提出审查意见。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3.决定责任：在规定期限内作出许可或不予许可的书面决定；不予许可应告知理由，并告知相对人申请复议或提起行政诉讼的权利。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4.送达责任：在规定期限内向申请人送达行政许可证件；建立信息档案；公开有关信息。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5.事后监管责任：建立实施监督检查的运行机制和管理制度，加强对企业的不定期检查，根据检查结果提出限期整改、吊销许可证等处理决定。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6.法律法规规章文件规定应履行的其他责任。</w:t>
            </w:r>
          </w:p>
        </w:tc>
        <w:tc>
          <w:tcPr>
            <w:tcW w:w="1467" w:type="dxa"/>
            <w:vAlign w:val="center"/>
          </w:tcPr>
          <w:p w14:paraId="08168B1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p>
          <w:p w14:paraId="0E03DA8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《固体废物污染环境防治法》第11、12、13、14、15条。</w:t>
            </w:r>
          </w:p>
        </w:tc>
        <w:tc>
          <w:tcPr>
            <w:tcW w:w="1572" w:type="dxa"/>
            <w:vAlign w:val="center"/>
          </w:tcPr>
          <w:p w14:paraId="05E5402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固体废物与化学品处</w:t>
            </w:r>
            <w:r>
              <w:rPr>
                <w:rFonts w:hint="eastAsia" w:ascii="宋体" w:hAnsi="宋体" w:eastAsia="宋体" w:cs="宋体"/>
                <w:color w:val="auto"/>
                <w:kern w:val="0"/>
                <w:sz w:val="18"/>
                <w:szCs w:val="18"/>
              </w:rPr>
              <w:t>、派驻政务服务中心窗口</w:t>
            </w:r>
          </w:p>
        </w:tc>
        <w:tc>
          <w:tcPr>
            <w:tcW w:w="1170" w:type="dxa"/>
            <w:vAlign w:val="center"/>
          </w:tcPr>
          <w:p w14:paraId="259C6B4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6EE7110A">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7CE8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30" w:type="dxa"/>
            <w:vAlign w:val="center"/>
          </w:tcPr>
          <w:p w14:paraId="2C96F4B4">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F89AC4A">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262EDE3C">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权限内生产、销售、使用放射性同位素和射线装置许可证的审批</w:t>
            </w:r>
          </w:p>
        </w:tc>
        <w:tc>
          <w:tcPr>
            <w:tcW w:w="1470" w:type="dxa"/>
            <w:vAlign w:val="center"/>
          </w:tcPr>
          <w:p w14:paraId="62250134">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28条、第29条</w:t>
            </w:r>
            <w:r>
              <w:rPr>
                <w:rFonts w:hint="eastAsia" w:ascii="宋体" w:hAnsi="宋体" w:eastAsia="宋体" w:cs="宋体"/>
                <w:color w:val="auto"/>
                <w:kern w:val="0"/>
                <w:sz w:val="18"/>
                <w:szCs w:val="18"/>
              </w:rPr>
              <w:t>；</w:t>
            </w:r>
          </w:p>
          <w:p w14:paraId="4FB2916B">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《放射性同位素与射线装置安全和防护条例》第6条</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《放射性同位素与射线装置安全许可管理办法》第2、4条；</w:t>
            </w:r>
          </w:p>
          <w:p w14:paraId="52207DAD">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《国务院关于取消和下放一批行政审批项目的决定》(国发〔2014〕5号)第67项。</w:t>
            </w:r>
          </w:p>
        </w:tc>
        <w:tc>
          <w:tcPr>
            <w:tcW w:w="6066" w:type="dxa"/>
            <w:tcBorders>
              <w:left w:val="double" w:color="auto" w:sz="4" w:space="0"/>
            </w:tcBorders>
            <w:vAlign w:val="center"/>
          </w:tcPr>
          <w:p w14:paraId="2E0F335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 xml:space="preserve">受理责任：公示依法应当提交的材料；一次性告知补正材料；依法受理或不予受理（不予受理的，将《不予受理通知书》交办件人）。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审查责任：依法审查是否符合许可条件。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决定责任：作出准予许可或不予许可的决定（依照法定方式进行，不予许可的说明理由）。</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 xml:space="preserve">送达责任：依法制作《辐射安全许可证》或者不予行政许可决定书，告知申请人不服行政许可决定，申请复议或者提起行政诉讼的途径和期限。通知办件人领取或其他方式送达《辐射安全许可证》或不予行政许可决定书。信息公开。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 xml:space="preserve">事后监管责任：建立实施监督检查的运行机制和管理制度，开展后续监督管理。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3A5AA36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p>
          <w:p w14:paraId="7081A55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w:t>
            </w:r>
            <w:r>
              <w:rPr>
                <w:rFonts w:hint="eastAsia" w:ascii="宋体" w:hAnsi="宋体" w:eastAsia="宋体" w:cs="宋体"/>
                <w:color w:val="auto"/>
                <w:kern w:val="0"/>
                <w:sz w:val="18"/>
                <w:szCs w:val="18"/>
                <w:lang w:val="en-US" w:eastAsia="zh-CN"/>
              </w:rPr>
              <w:t>11条、第12</w:t>
            </w:r>
            <w:r>
              <w:rPr>
                <w:rFonts w:hint="eastAsia" w:ascii="宋体" w:hAnsi="宋体" w:eastAsia="宋体" w:cs="宋体"/>
                <w:color w:val="auto"/>
                <w:kern w:val="0"/>
                <w:sz w:val="18"/>
                <w:szCs w:val="18"/>
              </w:rPr>
              <w:t>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13条</w:t>
            </w:r>
            <w:r>
              <w:rPr>
                <w:rFonts w:hint="eastAsia" w:ascii="宋体" w:hAnsi="宋体" w:eastAsia="宋体" w:cs="宋体"/>
                <w:color w:val="auto"/>
                <w:kern w:val="0"/>
                <w:sz w:val="18"/>
                <w:szCs w:val="18"/>
              </w:rPr>
              <w:t>；</w:t>
            </w:r>
          </w:p>
          <w:p w14:paraId="7C3455C2">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《放射性同位素与射线装置安全和防护条例》第6条</w:t>
            </w:r>
            <w:r>
              <w:rPr>
                <w:rFonts w:hint="eastAsia" w:ascii="宋体" w:hAnsi="宋体" w:eastAsia="宋体" w:cs="宋体"/>
                <w:color w:val="auto"/>
                <w:kern w:val="0"/>
                <w:sz w:val="18"/>
                <w:szCs w:val="18"/>
                <w:lang w:eastAsia="zh-CN"/>
              </w:rPr>
              <w:t>；《放射性同位素与射线装置安全和防护条例》第3、8、9、13、46、50条。</w:t>
            </w:r>
          </w:p>
          <w:p w14:paraId="0B4327D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《放射性同位素与射线装置安全许可管理办法》第19、43条</w:t>
            </w:r>
            <w:r>
              <w:rPr>
                <w:rFonts w:hint="eastAsia" w:ascii="宋体" w:hAnsi="宋体" w:eastAsia="宋体" w:cs="宋体"/>
                <w:color w:val="auto"/>
                <w:kern w:val="0"/>
                <w:sz w:val="18"/>
                <w:szCs w:val="18"/>
              </w:rPr>
              <w:t>。</w:t>
            </w:r>
          </w:p>
        </w:tc>
        <w:tc>
          <w:tcPr>
            <w:tcW w:w="1572" w:type="dxa"/>
            <w:vAlign w:val="center"/>
          </w:tcPr>
          <w:p w14:paraId="7CA6B810">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处、派驻政务服务中心窗口</w:t>
            </w:r>
          </w:p>
        </w:tc>
        <w:tc>
          <w:tcPr>
            <w:tcW w:w="1170" w:type="dxa"/>
            <w:vAlign w:val="center"/>
          </w:tcPr>
          <w:p w14:paraId="53807CB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0F9A1FBF">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B0B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30" w:type="dxa"/>
            <w:vAlign w:val="center"/>
          </w:tcPr>
          <w:p w14:paraId="5933AADF">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D689546">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0B6B34CE">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放射性同位素转</w:t>
            </w:r>
            <w:r>
              <w:rPr>
                <w:rFonts w:hint="eastAsia" w:ascii="宋体" w:hAnsi="宋体" w:eastAsia="宋体" w:cs="宋体"/>
                <w:color w:val="auto"/>
                <w:kern w:val="0"/>
                <w:sz w:val="18"/>
                <w:szCs w:val="18"/>
                <w:lang w:eastAsia="zh-CN"/>
              </w:rPr>
              <w:t>入</w:t>
            </w:r>
            <w:r>
              <w:rPr>
                <w:rFonts w:hint="eastAsia" w:ascii="宋体" w:hAnsi="宋体" w:eastAsia="宋体" w:cs="宋体"/>
                <w:color w:val="auto"/>
                <w:kern w:val="0"/>
                <w:sz w:val="18"/>
                <w:szCs w:val="18"/>
              </w:rPr>
              <w:t>审批</w:t>
            </w:r>
          </w:p>
        </w:tc>
        <w:tc>
          <w:tcPr>
            <w:tcW w:w="1470" w:type="dxa"/>
            <w:vAlign w:val="center"/>
          </w:tcPr>
          <w:p w14:paraId="1976C29A">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《放射性同位素与射线装置安全许可管理办法》第6条；《放射性同位素与射线装置安全和防护条例》第</w:t>
            </w:r>
            <w:r>
              <w:rPr>
                <w:rFonts w:hint="eastAsia" w:ascii="宋体" w:hAnsi="宋体" w:eastAsia="宋体" w:cs="宋体"/>
                <w:color w:val="auto"/>
                <w:kern w:val="0"/>
                <w:sz w:val="18"/>
                <w:szCs w:val="18"/>
                <w:lang w:val="en-US" w:eastAsia="zh-CN"/>
              </w:rPr>
              <w:t>19条、第</w:t>
            </w:r>
            <w:r>
              <w:rPr>
                <w:rFonts w:hint="eastAsia" w:ascii="宋体" w:hAnsi="宋体" w:eastAsia="宋体" w:cs="宋体"/>
                <w:color w:val="auto"/>
                <w:kern w:val="0"/>
                <w:sz w:val="18"/>
                <w:szCs w:val="18"/>
              </w:rPr>
              <w:t>20条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21条</w:t>
            </w:r>
            <w:r>
              <w:rPr>
                <w:rFonts w:hint="eastAsia" w:ascii="宋体" w:hAnsi="宋体" w:eastAsia="宋体" w:cs="宋体"/>
                <w:color w:val="auto"/>
                <w:kern w:val="0"/>
                <w:sz w:val="18"/>
                <w:szCs w:val="18"/>
              </w:rPr>
              <w:t xml:space="preserve">。  </w:t>
            </w:r>
          </w:p>
        </w:tc>
        <w:tc>
          <w:tcPr>
            <w:tcW w:w="6066" w:type="dxa"/>
            <w:tcBorders>
              <w:left w:val="double" w:color="auto" w:sz="4" w:space="0"/>
            </w:tcBorders>
            <w:vAlign w:val="center"/>
          </w:tcPr>
          <w:p w14:paraId="41D68CF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 xml:space="preserve">受理责任：公示依法应当提交的材料；一次性告知补正材料；依法受理或不予受理。不予受理的，将《不予受理通知书》交办件人。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审查责任：审查是否符合许可条件。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作出准予许可或不予许可的决定（依照法定方式进行，不予许可的，应当说明理由）。（省、自治区、直辖市人民政府环境保护主管部门应当自受理申请之日起15个工作日内完成审查，符合条件的，予以批准；不符合条件的，书面通知申请单位并说明理由。）</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送达责任：制作同意许可决定书或者不予行政许可决定书，告知申请人不服行政许可决定，申请复议或者提起行政诉讼的途径和期限，当场交办件人。信息公开。</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事后监管责任：建立实施监督检查的运行机制和管理制度，开展后续监督管理。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0CDBD74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p>
          <w:p w14:paraId="1F39437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《放射性同位素与射线装置安全和防护条例》第</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rPr>
              <w:t>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20条</w:t>
            </w:r>
            <w:r>
              <w:rPr>
                <w:rFonts w:hint="eastAsia" w:ascii="宋体" w:hAnsi="宋体" w:eastAsia="宋体" w:cs="宋体"/>
                <w:color w:val="auto"/>
                <w:kern w:val="0"/>
                <w:sz w:val="18"/>
                <w:szCs w:val="18"/>
                <w:lang w:eastAsia="zh-CN"/>
              </w:rPr>
              <w:t>；《放射性同位素与射线装置安全许可管理办法》第32条</w:t>
            </w:r>
            <w:r>
              <w:rPr>
                <w:rFonts w:hint="eastAsia" w:ascii="宋体" w:hAnsi="宋体" w:eastAsia="宋体" w:cs="宋体"/>
                <w:color w:val="auto"/>
                <w:kern w:val="0"/>
                <w:sz w:val="18"/>
                <w:szCs w:val="18"/>
              </w:rPr>
              <w:t>。</w:t>
            </w:r>
          </w:p>
        </w:tc>
        <w:tc>
          <w:tcPr>
            <w:tcW w:w="1572" w:type="dxa"/>
            <w:vAlign w:val="center"/>
          </w:tcPr>
          <w:p w14:paraId="0426AEF0">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处、派驻政务服务中心窗口</w:t>
            </w:r>
          </w:p>
        </w:tc>
        <w:tc>
          <w:tcPr>
            <w:tcW w:w="1170" w:type="dxa"/>
            <w:vAlign w:val="center"/>
          </w:tcPr>
          <w:p w14:paraId="45F0DB4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26E74402">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3DB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630" w:type="dxa"/>
            <w:vAlign w:val="center"/>
          </w:tcPr>
          <w:p w14:paraId="2111E714">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17A90E4">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26904982">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权限内建设项目环境影响评价文件审批</w:t>
            </w:r>
          </w:p>
        </w:tc>
        <w:tc>
          <w:tcPr>
            <w:tcW w:w="1470" w:type="dxa"/>
            <w:vAlign w:val="center"/>
          </w:tcPr>
          <w:p w14:paraId="4DD4F90E">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《环境保护法》第19条；</w:t>
            </w:r>
          </w:p>
          <w:p w14:paraId="1757C30F">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《环境影响评价法》第3、8、16、22条；</w:t>
            </w:r>
          </w:p>
          <w:p w14:paraId="21E62A3F">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《建设项目环境保护管理条例》第7、20条；</w:t>
            </w:r>
          </w:p>
          <w:p w14:paraId="716CBB6B">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《建设项目竣工环境保护验收暂行办法》第2、3条；</w:t>
            </w:r>
          </w:p>
          <w:p w14:paraId="2EEEA185">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《放射性污染防治法》第20、29条；</w:t>
            </w:r>
          </w:p>
          <w:p w14:paraId="6345C3C1">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《电磁辐射环境保护管理办法》第7、11、5、19条；</w:t>
            </w:r>
          </w:p>
          <w:p w14:paraId="319ABC1B">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《水污染防治法》第13、19、20、21条；</w:t>
            </w:r>
          </w:p>
          <w:p w14:paraId="03DAAD26">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《大气污染防治法》第12、19条；</w:t>
            </w:r>
          </w:p>
          <w:p w14:paraId="256CE6EF">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《贵州省环境保护条例》第24条；</w:t>
            </w:r>
          </w:p>
          <w:p w14:paraId="7F40A09D">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《贵州省污染物排放申报登记及污染物排放许可管理办法》第11条；</w:t>
            </w:r>
          </w:p>
          <w:p w14:paraId="401A0AC8">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《排污许可管理办法（试行）》（原环境保护部令第48号）；</w:t>
            </w:r>
          </w:p>
          <w:p w14:paraId="0FF71B6E">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省人民政府办公厅关于印发贵州省控制污染物排放许可制实施方案的通知（黔府办发【2017】19号）                                                                                                                                        </w:t>
            </w:r>
          </w:p>
        </w:tc>
        <w:tc>
          <w:tcPr>
            <w:tcW w:w="6066" w:type="dxa"/>
            <w:tcBorders>
              <w:left w:val="double" w:color="auto" w:sz="4" w:space="0"/>
            </w:tcBorders>
            <w:vAlign w:val="center"/>
          </w:tcPr>
          <w:p w14:paraId="0B885D32">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1.受理责任：公示法定应当提交的材料；一次性告知补正材料；依法受理或不予受理申请（不予受理的应当告知理由）。</w:t>
            </w:r>
          </w:p>
          <w:p w14:paraId="1F21962C">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2.审查责任：对申请人提交的申请材料进行审查，提出审查意见。</w:t>
            </w:r>
          </w:p>
          <w:p w14:paraId="19BD9BA3">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决定责任：在规定期限内作出许可或不予许可的书面决定；不予许可应告知理由，并告知相对人申请复议或提起行政诉讼的权利。（审批部门应当自收到环境影响报告书之日起六十日内，收到环境影响报告表之日起三十日内，分别作出审批决定并书面通知建设单位；省、自治区、直辖市人民政府环境保护主管部门应当自受理排污许可证核发申请之日起15个工作日内完成审查，符合条件的，予以批准；不符合条件的，书面通知申请单位并说明理由。）</w:t>
            </w:r>
          </w:p>
          <w:p w14:paraId="5B5229B4">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4.送达责任：在规定期限内向申请人送达行政许可证件；建立信息档案；公开有关信息。</w:t>
            </w:r>
          </w:p>
          <w:p w14:paraId="77E5CD1A">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5.事后监管责任：建立实施监督检查的运行机制和管理制度，生态环境执法监督处开展后续监督管理并组织“三同时”制度落实情况的监督，属地生态环境部门负责日常环境保护监管工作。</w:t>
            </w:r>
          </w:p>
          <w:p w14:paraId="64DB07D4">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6.法律法规规章文件规定应履行的其他责任。</w:t>
            </w:r>
          </w:p>
          <w:p w14:paraId="43179D94">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p>
        </w:tc>
        <w:tc>
          <w:tcPr>
            <w:tcW w:w="1467" w:type="dxa"/>
            <w:vAlign w:val="center"/>
          </w:tcPr>
          <w:p w14:paraId="0493469D">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《行政许可法》第30、32、34、37、38、39、40、42、44、61条；</w:t>
            </w:r>
          </w:p>
          <w:p w14:paraId="64D528CA">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《建设项目环境保护管理条例》第7、20、21、22条；</w:t>
            </w:r>
          </w:p>
          <w:p w14:paraId="03E77B15">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《建设项目竣工环境保护验收管理办法》第4、9、11、12、13、16条；</w:t>
            </w:r>
          </w:p>
          <w:p w14:paraId="0FB97F1B">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《放射性污染防治法》第20、21、29、30、34、35条；</w:t>
            </w:r>
          </w:p>
          <w:p w14:paraId="72609302">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《电磁辐射环境保护管理办法》第11、15、19条；</w:t>
            </w:r>
          </w:p>
          <w:p w14:paraId="26FBABF5">
            <w:pPr>
              <w:widowControl/>
              <w:wordWrap/>
              <w:adjustRightInd/>
              <w:snapToGrid/>
              <w:spacing w:line="240" w:lineRule="exact"/>
              <w:jc w:val="both"/>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《大气污染防治法》第12条、第22条</w:t>
            </w:r>
          </w:p>
          <w:p w14:paraId="2796B4AC">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p>
        </w:tc>
        <w:tc>
          <w:tcPr>
            <w:tcW w:w="1572" w:type="dxa"/>
            <w:vAlign w:val="center"/>
          </w:tcPr>
          <w:p w14:paraId="6D1568E9">
            <w:pPr>
              <w:widowControl/>
              <w:wordWrap/>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环境影响评价与排放管理处、生态环境执法监督处、核与辐射安全监管处、派驻政务服务中心窗口</w:t>
            </w:r>
          </w:p>
        </w:tc>
        <w:tc>
          <w:tcPr>
            <w:tcW w:w="1170" w:type="dxa"/>
            <w:vAlign w:val="center"/>
          </w:tcPr>
          <w:p w14:paraId="38AB778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窗口负责人、具体承办人</w:t>
            </w:r>
          </w:p>
        </w:tc>
        <w:tc>
          <w:tcPr>
            <w:tcW w:w="1110" w:type="dxa"/>
            <w:vAlign w:val="center"/>
          </w:tcPr>
          <w:p w14:paraId="6102FD17">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将原“权限内建设项目环境影响评价文件审批”、“在江河、湖泊新建、改建或者扩大入河排污口审核”、“燃煤火电厂排污许可证核发”合并为此项。</w:t>
            </w:r>
          </w:p>
        </w:tc>
      </w:tr>
      <w:tr w14:paraId="2180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30" w:type="dxa"/>
            <w:vAlign w:val="center"/>
          </w:tcPr>
          <w:p w14:paraId="3ECCF8FF">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8192BDF">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1080" w:type="dxa"/>
            <w:vAlign w:val="center"/>
          </w:tcPr>
          <w:p w14:paraId="551783EA">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放射性同位素野外示踪试验审批</w:t>
            </w:r>
          </w:p>
        </w:tc>
        <w:tc>
          <w:tcPr>
            <w:tcW w:w="1470" w:type="dxa"/>
            <w:vAlign w:val="center"/>
          </w:tcPr>
          <w:p w14:paraId="25AA5D24">
            <w:pPr>
              <w:widowControl/>
              <w:wordWrap/>
              <w:adjustRightInd/>
              <w:snapToGrid/>
              <w:spacing w:line="240" w:lineRule="exact"/>
              <w:jc w:val="both"/>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《放射性同位素与射线装置安全和防护条例》第</w:t>
            </w:r>
            <w:r>
              <w:rPr>
                <w:rFonts w:hint="eastAsia" w:ascii="宋体" w:hAnsi="宋体" w:eastAsia="宋体" w:cs="宋体"/>
                <w:color w:val="auto"/>
                <w:kern w:val="0"/>
                <w:sz w:val="18"/>
                <w:szCs w:val="18"/>
                <w:lang w:val="en-US" w:eastAsia="zh-CN"/>
              </w:rPr>
              <w:t>36</w:t>
            </w:r>
            <w:r>
              <w:rPr>
                <w:rFonts w:hint="eastAsia" w:ascii="宋体" w:hAnsi="宋体" w:eastAsia="宋体" w:cs="宋体"/>
                <w:color w:val="auto"/>
                <w:kern w:val="0"/>
                <w:sz w:val="18"/>
                <w:szCs w:val="18"/>
                <w:lang w:eastAsia="zh-CN"/>
              </w:rPr>
              <w:t>条</w:t>
            </w:r>
          </w:p>
          <w:p w14:paraId="556DDF63">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《放射性同位素与射线装置安全许可管理办法》第6、</w:t>
            </w:r>
            <w:r>
              <w:rPr>
                <w:rFonts w:hint="eastAsia" w:ascii="宋体" w:hAnsi="宋体" w:eastAsia="宋体" w:cs="宋体"/>
                <w:color w:val="auto"/>
                <w:kern w:val="0"/>
                <w:sz w:val="18"/>
                <w:szCs w:val="18"/>
                <w:lang w:val="en-US" w:eastAsia="zh-CN"/>
              </w:rPr>
              <w:t>34</w:t>
            </w:r>
            <w:r>
              <w:rPr>
                <w:rFonts w:hint="eastAsia" w:ascii="宋体" w:hAnsi="宋体" w:eastAsia="宋体" w:cs="宋体"/>
                <w:color w:val="auto"/>
                <w:kern w:val="0"/>
                <w:sz w:val="18"/>
                <w:szCs w:val="18"/>
                <w:lang w:eastAsia="zh-CN"/>
              </w:rPr>
              <w:t>条</w:t>
            </w:r>
          </w:p>
        </w:tc>
        <w:tc>
          <w:tcPr>
            <w:tcW w:w="6066" w:type="dxa"/>
            <w:tcBorders>
              <w:left w:val="double" w:color="auto" w:sz="4" w:space="0"/>
            </w:tcBorders>
            <w:vAlign w:val="center"/>
          </w:tcPr>
          <w:p w14:paraId="1F59E5CA">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 xml:space="preserve">受理责任：公示依法应当提交的材料；一次性告知补正材料；依法受理或不予受理。不予受理的，将《不予受理通知书》交办件人。                        </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审查责任：审查是否符合许可条件。</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决定责任：作出准予许可或不予许可的决定（依照法定方式进行，不予许可的，应当说明理由）。（省、自治区、直辖市人民政府环境保护主管部门应当自受理申请之日起15个工作日内完成审查，符合条件的，予以批准；不符合条件的，书面通知申请单位并说明理由。）</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送达责任：制作同意许可决定书或者不予行政许可决定书，告知申请人不服行政许可决定，申请复议或者提起行政诉讼的途径和期限，当场交办件人。信息公开。</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事后监管责任：建立实施监督检查的运行机制和管理制度，开展后续监督管理。</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其他法律法规规章文件规定应履行的责任。</w:t>
            </w:r>
          </w:p>
        </w:tc>
        <w:tc>
          <w:tcPr>
            <w:tcW w:w="1467" w:type="dxa"/>
            <w:vAlign w:val="center"/>
          </w:tcPr>
          <w:p w14:paraId="283861BD">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《行政许可法》第30、32、34、37、38、39、40、42、44、61条；</w:t>
            </w:r>
            <w:r>
              <w:rPr>
                <w:rFonts w:hint="eastAsia" w:ascii="宋体" w:hAnsi="宋体" w:eastAsia="宋体" w:cs="宋体"/>
                <w:color w:val="auto"/>
                <w:kern w:val="0"/>
                <w:sz w:val="18"/>
                <w:szCs w:val="18"/>
                <w:lang w:eastAsia="zh-CN"/>
              </w:rPr>
              <w:t>《放射性同位素与射线装置安全许可管理办法》第</w:t>
            </w:r>
            <w:r>
              <w:rPr>
                <w:rFonts w:hint="eastAsia" w:ascii="宋体" w:hAnsi="宋体" w:eastAsia="宋体" w:cs="宋体"/>
                <w:color w:val="auto"/>
                <w:kern w:val="0"/>
                <w:sz w:val="18"/>
                <w:szCs w:val="18"/>
                <w:lang w:val="en-US" w:eastAsia="zh-CN"/>
              </w:rPr>
              <w:t>43条</w:t>
            </w:r>
            <w:r>
              <w:rPr>
                <w:rFonts w:hint="eastAsia" w:ascii="宋体" w:hAnsi="宋体" w:eastAsia="宋体" w:cs="宋体"/>
                <w:color w:val="auto"/>
                <w:kern w:val="0"/>
                <w:sz w:val="18"/>
                <w:szCs w:val="18"/>
                <w:lang w:eastAsia="zh-CN"/>
              </w:rPr>
              <w:t>；《放射性同位素与射线装置安全和防护条例》第</w:t>
            </w:r>
            <w:r>
              <w:rPr>
                <w:rFonts w:hint="eastAsia" w:ascii="宋体" w:hAnsi="宋体" w:eastAsia="宋体" w:cs="宋体"/>
                <w:color w:val="auto"/>
                <w:kern w:val="0"/>
                <w:sz w:val="18"/>
                <w:szCs w:val="18"/>
                <w:lang w:val="en-US" w:eastAsia="zh-CN"/>
              </w:rPr>
              <w:t>46</w:t>
            </w:r>
            <w:r>
              <w:rPr>
                <w:rFonts w:hint="eastAsia" w:ascii="宋体" w:hAnsi="宋体" w:eastAsia="宋体" w:cs="宋体"/>
                <w:color w:val="auto"/>
                <w:kern w:val="0"/>
                <w:sz w:val="18"/>
                <w:szCs w:val="18"/>
                <w:lang w:eastAsia="zh-CN"/>
              </w:rPr>
              <w:t>条。</w:t>
            </w:r>
          </w:p>
        </w:tc>
        <w:tc>
          <w:tcPr>
            <w:tcW w:w="1572" w:type="dxa"/>
            <w:vAlign w:val="center"/>
          </w:tcPr>
          <w:p w14:paraId="195CED51">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核与辐射安全监管处、派驻政务服务中心窗口</w:t>
            </w:r>
          </w:p>
        </w:tc>
        <w:tc>
          <w:tcPr>
            <w:tcW w:w="1170" w:type="dxa"/>
            <w:vAlign w:val="center"/>
          </w:tcPr>
          <w:p w14:paraId="7363BEE1">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厅法定代表人及分管领导、内设机构负责人、 窗口负责人、具体承办人</w:t>
            </w:r>
          </w:p>
        </w:tc>
        <w:tc>
          <w:tcPr>
            <w:tcW w:w="1110" w:type="dxa"/>
            <w:vAlign w:val="center"/>
          </w:tcPr>
          <w:p w14:paraId="18E56516">
            <w:pPr>
              <w:widowControl/>
              <w:wordWrap/>
              <w:adjustRightInd/>
              <w:snapToGrid/>
              <w:spacing w:line="240" w:lineRule="exact"/>
              <w:textAlignment w:val="auto"/>
              <w:rPr>
                <w:rFonts w:hint="eastAsia" w:ascii="宋体" w:hAnsi="宋体" w:eastAsia="宋体" w:cs="宋体"/>
                <w:color w:val="auto"/>
                <w:kern w:val="0"/>
                <w:sz w:val="18"/>
                <w:szCs w:val="18"/>
                <w:lang w:eastAsia="zh-CN"/>
              </w:rPr>
            </w:pPr>
          </w:p>
        </w:tc>
      </w:tr>
      <w:tr w14:paraId="5E63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Align w:val="center"/>
          </w:tcPr>
          <w:p w14:paraId="7C49ED9B">
            <w:pPr>
              <w:numPr>
                <w:ilvl w:val="0"/>
                <w:numId w:val="1"/>
              </w:numPr>
              <w:tabs>
                <w:tab w:val="left" w:pos="437"/>
              </w:tabs>
              <w:spacing w:line="240" w:lineRule="exact"/>
              <w:ind w:left="425" w:leftChars="0" w:hanging="425" w:firstLineChars="0"/>
              <w:jc w:val="left"/>
              <w:rPr>
                <w:rFonts w:hint="eastAsia" w:ascii="黑体" w:hAnsi="黑体" w:eastAsia="黑体" w:cs="黑体"/>
                <w:b/>
                <w:bCs/>
                <w:szCs w:val="21"/>
                <w:lang w:val="en-US" w:eastAsia="zh-CN"/>
              </w:rPr>
            </w:pPr>
          </w:p>
        </w:tc>
        <w:tc>
          <w:tcPr>
            <w:tcW w:w="900" w:type="dxa"/>
            <w:vAlign w:val="center"/>
          </w:tcPr>
          <w:p w14:paraId="5E6CCFC0">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0AC5A5DB">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违反建设项目环境影响评价制度处罚</w:t>
            </w:r>
          </w:p>
        </w:tc>
        <w:tc>
          <w:tcPr>
            <w:tcW w:w="1470" w:type="dxa"/>
            <w:vAlign w:val="center"/>
          </w:tcPr>
          <w:p w14:paraId="3D5B2FC1">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《环境保护法》第61条；《环境影响评价法》第31</w:t>
            </w:r>
            <w:r>
              <w:rPr>
                <w:rFonts w:hint="eastAsia" w:ascii="宋体" w:hAnsi="宋体" w:eastAsia="宋体" w:cs="宋体"/>
                <w:color w:val="auto"/>
                <w:kern w:val="0"/>
                <w:sz w:val="18"/>
                <w:szCs w:val="18"/>
                <w:lang w:eastAsia="zh-CN"/>
              </w:rPr>
              <w:t>条、第</w:t>
            </w:r>
            <w:r>
              <w:rPr>
                <w:rFonts w:hint="eastAsia" w:ascii="宋体" w:hAnsi="宋体" w:eastAsia="宋体" w:cs="宋体"/>
                <w:color w:val="auto"/>
                <w:kern w:val="0"/>
                <w:sz w:val="18"/>
                <w:szCs w:val="18"/>
                <w:lang w:val="en-US" w:eastAsia="zh-CN"/>
              </w:rPr>
              <w:t>32条、第</w:t>
            </w:r>
            <w:r>
              <w:rPr>
                <w:rFonts w:hint="eastAsia" w:ascii="宋体" w:hAnsi="宋体" w:eastAsia="宋体" w:cs="宋体"/>
                <w:color w:val="auto"/>
                <w:kern w:val="0"/>
                <w:sz w:val="18"/>
                <w:szCs w:val="18"/>
              </w:rPr>
              <w:t>33条；《建设项目环境保护管理条例》第</w:t>
            </w:r>
            <w:r>
              <w:rPr>
                <w:rFonts w:hint="eastAsia" w:ascii="宋体" w:hAnsi="宋体" w:eastAsia="宋体" w:cs="宋体"/>
                <w:color w:val="auto"/>
                <w:kern w:val="0"/>
                <w:sz w:val="18"/>
                <w:szCs w:val="18"/>
                <w:lang w:val="en-US" w:eastAsia="zh-CN"/>
              </w:rPr>
              <w:t>21条、第</w:t>
            </w:r>
            <w:r>
              <w:rPr>
                <w:rFonts w:hint="eastAsia" w:ascii="宋体" w:hAnsi="宋体" w:eastAsia="宋体" w:cs="宋体"/>
                <w:color w:val="auto"/>
                <w:kern w:val="0"/>
                <w:sz w:val="18"/>
                <w:szCs w:val="18"/>
              </w:rPr>
              <w:t>24条、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25条；</w:t>
            </w:r>
          </w:p>
          <w:p w14:paraId="509521A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《贵州省环境保护条例》第54条；《放射性污染防治法》</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29条</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第</w:t>
            </w:r>
            <w:r>
              <w:rPr>
                <w:rFonts w:hint="eastAsia" w:ascii="宋体" w:hAnsi="宋体" w:eastAsia="宋体" w:cs="宋体"/>
                <w:color w:val="auto"/>
                <w:kern w:val="0"/>
                <w:sz w:val="18"/>
                <w:szCs w:val="18"/>
                <w:lang w:val="en-US" w:eastAsia="zh-CN"/>
              </w:rPr>
              <w:t>50条、第51</w:t>
            </w:r>
            <w:r>
              <w:rPr>
                <w:rFonts w:hint="eastAsia" w:ascii="宋体" w:hAnsi="宋体" w:eastAsia="宋体" w:cs="宋体"/>
                <w:color w:val="auto"/>
                <w:kern w:val="0"/>
                <w:sz w:val="18"/>
                <w:szCs w:val="18"/>
              </w:rPr>
              <w:t>条。</w:t>
            </w:r>
          </w:p>
        </w:tc>
        <w:tc>
          <w:tcPr>
            <w:tcW w:w="6066" w:type="dxa"/>
            <w:tcBorders>
              <w:left w:val="double" w:color="auto" w:sz="4" w:space="0"/>
            </w:tcBorders>
            <w:vAlign w:val="center"/>
          </w:tcPr>
          <w:p w14:paraId="5AF101B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7718B07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467" w:type="dxa"/>
            <w:vAlign w:val="center"/>
          </w:tcPr>
          <w:p w14:paraId="7FB363F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F411BF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2DA020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62482C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2900BF0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58148E29">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3FAE824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r>
              <w:rPr>
                <w:rFonts w:hint="eastAsia" w:ascii="宋体" w:hAnsi="宋体" w:eastAsia="宋体" w:cs="宋体"/>
                <w:color w:val="auto"/>
                <w:kern w:val="0"/>
                <w:sz w:val="18"/>
                <w:szCs w:val="18"/>
                <w:lang w:val="en-US" w:eastAsia="zh-CN"/>
              </w:rPr>
              <w:t>核与辐射安全监管处</w:t>
            </w:r>
          </w:p>
        </w:tc>
        <w:tc>
          <w:tcPr>
            <w:tcW w:w="1170" w:type="dxa"/>
            <w:vAlign w:val="center"/>
          </w:tcPr>
          <w:p w14:paraId="4685D57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577116F8">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356E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trPr>
        <w:tc>
          <w:tcPr>
            <w:tcW w:w="630" w:type="dxa"/>
            <w:vAlign w:val="center"/>
          </w:tcPr>
          <w:p w14:paraId="513628D1">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34B1D4EB">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5CEEE735">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违反建设项目“三同时”制度的处罚</w:t>
            </w:r>
          </w:p>
        </w:tc>
        <w:tc>
          <w:tcPr>
            <w:tcW w:w="1470" w:type="dxa"/>
            <w:vAlign w:val="center"/>
          </w:tcPr>
          <w:p w14:paraId="15E0D3A3">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《中华人民共和国环境保护法》第41条</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《环境噪声污染防治法》第48条；《固体废物污染环境防治法》第69条；；</w:t>
            </w:r>
          </w:p>
          <w:p w14:paraId="2CA45A2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《建设项目环境保护管理条例》第</w:t>
            </w:r>
            <w:r>
              <w:rPr>
                <w:rFonts w:hint="eastAsia" w:ascii="宋体" w:hAnsi="宋体" w:eastAsia="宋体" w:cs="宋体"/>
                <w:color w:val="auto"/>
                <w:kern w:val="0"/>
                <w:sz w:val="18"/>
                <w:szCs w:val="18"/>
                <w:lang w:val="en-US" w:eastAsia="zh-CN"/>
              </w:rPr>
              <w:t>22条、第23</w:t>
            </w:r>
            <w:r>
              <w:rPr>
                <w:rFonts w:hint="eastAsia" w:ascii="宋体" w:hAnsi="宋体" w:eastAsia="宋体" w:cs="宋体"/>
                <w:color w:val="auto"/>
                <w:kern w:val="0"/>
                <w:sz w:val="18"/>
                <w:szCs w:val="18"/>
              </w:rPr>
              <w:t>条；</w:t>
            </w:r>
          </w:p>
          <w:p w14:paraId="3ABFADF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《建设项目竣工环境保护验收</w:t>
            </w:r>
            <w:r>
              <w:rPr>
                <w:rFonts w:hint="eastAsia" w:ascii="宋体" w:hAnsi="宋体" w:eastAsia="宋体" w:cs="宋体"/>
                <w:color w:val="auto"/>
                <w:kern w:val="0"/>
                <w:sz w:val="18"/>
                <w:szCs w:val="18"/>
                <w:lang w:eastAsia="zh-CN"/>
              </w:rPr>
              <w:t>暂行</w:t>
            </w:r>
            <w:r>
              <w:rPr>
                <w:rFonts w:hint="eastAsia" w:ascii="宋体" w:hAnsi="宋体" w:eastAsia="宋体" w:cs="宋体"/>
                <w:color w:val="auto"/>
                <w:kern w:val="0"/>
                <w:sz w:val="18"/>
                <w:szCs w:val="18"/>
              </w:rPr>
              <w:t>办法》第</w:t>
            </w:r>
            <w:r>
              <w:rPr>
                <w:rFonts w:hint="eastAsia" w:ascii="宋体" w:hAnsi="宋体" w:eastAsia="宋体" w:cs="宋体"/>
                <w:color w:val="auto"/>
                <w:kern w:val="0"/>
                <w:sz w:val="18"/>
                <w:szCs w:val="18"/>
                <w:lang w:val="en-US" w:eastAsia="zh-CN"/>
              </w:rPr>
              <w:t>16</w:t>
            </w:r>
            <w:r>
              <w:rPr>
                <w:rFonts w:hint="eastAsia" w:ascii="宋体" w:hAnsi="宋体" w:eastAsia="宋体" w:cs="宋体"/>
                <w:color w:val="auto"/>
                <w:kern w:val="0"/>
                <w:sz w:val="18"/>
                <w:szCs w:val="18"/>
              </w:rPr>
              <w:t>条；《放射性污染防治法》30条。</w:t>
            </w:r>
          </w:p>
        </w:tc>
        <w:tc>
          <w:tcPr>
            <w:tcW w:w="6066" w:type="dxa"/>
            <w:tcBorders>
              <w:left w:val="double" w:color="auto" w:sz="4" w:space="0"/>
            </w:tcBorders>
            <w:vAlign w:val="center"/>
          </w:tcPr>
          <w:p w14:paraId="7AF45A8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1.受理责任：公示法定应当提交的材料；一次性告知补正材料；依法受理或不予受理申请（不予受理应告知理由），应当出具加盖本单位专用印章和注明日期的书面凭证。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2.审查责任：对申请人提交的申请材料进行审查，提出审查意见。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3.决定责任：在规定期限内作出许可或不予许可的书面决定；不予许可应告知理由，并告知相对人申请复议或提起行政诉讼的权利。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4.送达责任：在规定期限内向申请人送达行政许可证件；建立信息档案；公开有关信息。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5.事后监管责任：建立实施监督检查的运行机制和管理制度，加强对企业的不定期检查，根据检查结果提出限期整改、吊销许可证等处理决定。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6.法律法规规章文件规定应履行的其他责任。</w:t>
            </w:r>
          </w:p>
        </w:tc>
        <w:tc>
          <w:tcPr>
            <w:tcW w:w="1467" w:type="dxa"/>
            <w:vAlign w:val="center"/>
          </w:tcPr>
          <w:p w14:paraId="712565E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8420B2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18CE34E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0D395B9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D05549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C7F1C5A">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1C22AB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r>
              <w:rPr>
                <w:rFonts w:hint="eastAsia" w:ascii="宋体" w:hAnsi="宋体" w:eastAsia="宋体" w:cs="宋体"/>
                <w:color w:val="auto"/>
                <w:kern w:val="0"/>
                <w:sz w:val="18"/>
                <w:szCs w:val="18"/>
                <w:lang w:val="en-US" w:eastAsia="zh-CN"/>
              </w:rPr>
              <w:t>核与辐射安全监管处</w:t>
            </w:r>
          </w:p>
        </w:tc>
        <w:tc>
          <w:tcPr>
            <w:tcW w:w="1170" w:type="dxa"/>
            <w:vAlign w:val="center"/>
          </w:tcPr>
          <w:p w14:paraId="02C85E3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26C2B91B">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7EC1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Align w:val="center"/>
          </w:tcPr>
          <w:p w14:paraId="41544199">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561E5A74">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1692B51F">
            <w:pPr>
              <w:widowControl/>
              <w:wordWrap/>
              <w:adjustRightInd/>
              <w:snapToGrid/>
              <w:spacing w:line="240" w:lineRule="exact"/>
              <w:jc w:val="both"/>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逾期未完成限期治理任务的处罚</w:t>
            </w:r>
            <w:r>
              <w:rPr>
                <w:rFonts w:hint="eastAsia" w:ascii="宋体" w:hAnsi="宋体" w:eastAsia="宋体" w:cs="宋体"/>
                <w:color w:val="auto"/>
                <w:kern w:val="0"/>
                <w:sz w:val="18"/>
                <w:szCs w:val="18"/>
                <w:lang w:eastAsia="zh-CN"/>
              </w:rPr>
              <w:t>（固废、噪声）</w:t>
            </w:r>
          </w:p>
        </w:tc>
        <w:tc>
          <w:tcPr>
            <w:tcW w:w="1470" w:type="dxa"/>
            <w:vAlign w:val="center"/>
          </w:tcPr>
          <w:p w14:paraId="2F7B10DE">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《贵州省环境保护条例》第</w:t>
            </w:r>
            <w:r>
              <w:rPr>
                <w:rFonts w:hint="eastAsia" w:ascii="宋体" w:hAnsi="宋体" w:eastAsia="宋体" w:cs="宋体"/>
                <w:color w:val="auto"/>
                <w:kern w:val="0"/>
                <w:sz w:val="18"/>
                <w:szCs w:val="18"/>
                <w:lang w:val="en-US" w:eastAsia="zh-CN"/>
              </w:rPr>
              <w:t>56</w:t>
            </w:r>
            <w:r>
              <w:rPr>
                <w:rFonts w:hint="eastAsia" w:ascii="宋体" w:hAnsi="宋体" w:eastAsia="宋体" w:cs="宋体"/>
                <w:color w:val="auto"/>
                <w:kern w:val="0"/>
                <w:sz w:val="18"/>
                <w:szCs w:val="18"/>
              </w:rPr>
              <w:t>条；</w:t>
            </w:r>
          </w:p>
          <w:p w14:paraId="2ACFC4A1">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《环境噪声污染防治法》第52条；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《固体废物污染环境防治法》第81条。</w:t>
            </w:r>
          </w:p>
        </w:tc>
        <w:tc>
          <w:tcPr>
            <w:tcW w:w="6066" w:type="dxa"/>
            <w:tcBorders>
              <w:left w:val="double" w:color="auto" w:sz="4" w:space="0"/>
            </w:tcBorders>
            <w:vAlign w:val="center"/>
          </w:tcPr>
          <w:p w14:paraId="32D034E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05F74F1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1518E11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1B8D11D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2CE8E5B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D93E84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6D9E7A37">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16CA0944">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390FAFB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厅法定代表人及分管领导、内设机构负责人、具体承办人员</w:t>
            </w:r>
          </w:p>
        </w:tc>
        <w:tc>
          <w:tcPr>
            <w:tcW w:w="1110" w:type="dxa"/>
            <w:vAlign w:val="center"/>
          </w:tcPr>
          <w:p w14:paraId="2C25A549">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5411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10C6E21">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69FFFE76">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7E2887DB">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超过污染物排放标准或者超过重点污染排放总量控制指标排放污染物的处罚</w:t>
            </w:r>
          </w:p>
        </w:tc>
        <w:tc>
          <w:tcPr>
            <w:tcW w:w="1470" w:type="dxa"/>
            <w:vAlign w:val="center"/>
          </w:tcPr>
          <w:p w14:paraId="4430D34F">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《环境保护法》第60条；</w:t>
            </w:r>
          </w:p>
          <w:p w14:paraId="3D64E7ED">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《贵州省环境保护条例》第63条；</w:t>
            </w:r>
          </w:p>
          <w:p w14:paraId="5E1A32EA">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83</w:t>
            </w:r>
            <w:r>
              <w:rPr>
                <w:rFonts w:hint="eastAsia" w:ascii="宋体" w:hAnsi="宋体" w:eastAsia="宋体" w:cs="宋体"/>
                <w:color w:val="auto"/>
                <w:kern w:val="0"/>
                <w:sz w:val="18"/>
                <w:szCs w:val="18"/>
              </w:rPr>
              <w:t>条；《大气污染防治法》第99条、第123条；</w:t>
            </w:r>
          </w:p>
          <w:p w14:paraId="76DD83D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《环境噪声污染防治法》第50条、 </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59</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w:t>
            </w:r>
          </w:p>
        </w:tc>
        <w:tc>
          <w:tcPr>
            <w:tcW w:w="6066" w:type="dxa"/>
            <w:tcBorders>
              <w:left w:val="double" w:color="auto" w:sz="4" w:space="0"/>
            </w:tcBorders>
            <w:vAlign w:val="center"/>
          </w:tcPr>
          <w:p w14:paraId="74DEA08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0EA3D68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05F32C7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73642C4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D8FCB9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1870A73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A13651A">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0C65F56">
            <w:pPr>
              <w:widowControl/>
              <w:wordWrap/>
              <w:adjustRightInd/>
              <w:snapToGrid/>
              <w:spacing w:line="240" w:lineRule="exact"/>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4C87D5D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387D5F8C">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401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4474DB75">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8AE8F7C">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3DA88ACC">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违反排污申报登记及其他登记制度的处罚</w:t>
            </w:r>
          </w:p>
        </w:tc>
        <w:tc>
          <w:tcPr>
            <w:tcW w:w="1470" w:type="dxa"/>
            <w:vAlign w:val="center"/>
          </w:tcPr>
          <w:p w14:paraId="28F4F071">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《环境噪声污染防治法》第49条；</w:t>
            </w:r>
          </w:p>
          <w:p w14:paraId="37A8F0EF">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《固体废物污染环境防治法》第68条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75条</w:t>
            </w:r>
            <w:r>
              <w:rPr>
                <w:rFonts w:hint="eastAsia" w:ascii="宋体" w:hAnsi="宋体" w:eastAsia="宋体" w:cs="宋体"/>
                <w:color w:val="auto"/>
                <w:kern w:val="0"/>
                <w:sz w:val="18"/>
                <w:szCs w:val="18"/>
              </w:rPr>
              <w:t>；《排放污染物申报登记管理规定》第15条；《污染源自动监控设施现场监督检查办法》第17条；</w:t>
            </w:r>
          </w:p>
          <w:p w14:paraId="664D3F6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《危险化学品环境管理登记办法》第31条。</w:t>
            </w:r>
          </w:p>
        </w:tc>
        <w:tc>
          <w:tcPr>
            <w:tcW w:w="6066" w:type="dxa"/>
            <w:tcBorders>
              <w:left w:val="double" w:color="auto" w:sz="4" w:space="0"/>
            </w:tcBorders>
            <w:vAlign w:val="center"/>
          </w:tcPr>
          <w:p w14:paraId="39407C8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6FC3392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A41F20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5327EAA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351488C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C6D60E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C0F766F">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DFC0902">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04CE7AC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473DBAB4">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3FE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952BFBA">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449E215">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20CFBA1A">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违反现场检查制度的处罚</w:t>
            </w:r>
          </w:p>
        </w:tc>
        <w:tc>
          <w:tcPr>
            <w:tcW w:w="1470" w:type="dxa"/>
            <w:vAlign w:val="center"/>
          </w:tcPr>
          <w:p w14:paraId="559A6E3E">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81</w:t>
            </w:r>
            <w:r>
              <w:rPr>
                <w:rFonts w:hint="eastAsia" w:ascii="宋体" w:hAnsi="宋体" w:eastAsia="宋体" w:cs="宋体"/>
                <w:color w:val="auto"/>
                <w:kern w:val="0"/>
                <w:sz w:val="18"/>
                <w:szCs w:val="18"/>
              </w:rPr>
              <w:t>条；《大气污染防治法》第98条； 《环境噪声污染防治法》第55条；</w:t>
            </w:r>
          </w:p>
          <w:p w14:paraId="7656E737">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《固体废物污染环境防治法》第70条；</w:t>
            </w:r>
          </w:p>
          <w:p w14:paraId="78AF3A05">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《土壤污染防治法》第</w:t>
            </w:r>
            <w:r>
              <w:rPr>
                <w:rFonts w:hint="eastAsia" w:ascii="宋体" w:hAnsi="宋体" w:eastAsia="宋体" w:cs="宋体"/>
                <w:color w:val="auto"/>
                <w:kern w:val="0"/>
                <w:sz w:val="18"/>
                <w:szCs w:val="18"/>
                <w:lang w:val="en-US" w:eastAsia="zh-CN"/>
              </w:rPr>
              <w:t>85条、第93条；</w:t>
            </w:r>
          </w:p>
          <w:p w14:paraId="6A9472C3">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《放射性污染防治法》第49条；</w:t>
            </w:r>
          </w:p>
          <w:p w14:paraId="3B5A387B">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《污染源自动监控设施现场监督检查办法》第18条；</w:t>
            </w:r>
          </w:p>
          <w:p w14:paraId="5F20A8EA">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《贵州省环境保护条例》第57条。</w:t>
            </w:r>
          </w:p>
        </w:tc>
        <w:tc>
          <w:tcPr>
            <w:tcW w:w="6066" w:type="dxa"/>
            <w:tcBorders>
              <w:left w:val="double" w:color="auto" w:sz="4" w:space="0"/>
            </w:tcBorders>
            <w:vAlign w:val="center"/>
          </w:tcPr>
          <w:p w14:paraId="1755539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6CF1190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6808B1C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1F1993A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0C5DC4F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1B738F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CC6CFAF">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4D6F034A">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生态环境执法监督处、核与辐射安全监管处、乌江赤水河流域环境监管局、清水江都柳江流域环境监管局、南北盘江红水河流域环境监管局</w:t>
            </w:r>
          </w:p>
        </w:tc>
        <w:tc>
          <w:tcPr>
            <w:tcW w:w="1170" w:type="dxa"/>
            <w:vAlign w:val="center"/>
          </w:tcPr>
          <w:p w14:paraId="5DBE55E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6971F8F9">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3BF4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A070249">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9E638B6">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3795AE2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违反排污许可证管理制度的处罚</w:t>
            </w:r>
          </w:p>
        </w:tc>
        <w:tc>
          <w:tcPr>
            <w:tcW w:w="1470" w:type="dxa"/>
            <w:vAlign w:val="center"/>
          </w:tcPr>
          <w:p w14:paraId="56CCC6C8">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83</w:t>
            </w:r>
            <w:r>
              <w:rPr>
                <w:rFonts w:hint="eastAsia" w:ascii="宋体" w:hAnsi="宋体" w:eastAsia="宋体" w:cs="宋体"/>
                <w:color w:val="auto"/>
                <w:kern w:val="0"/>
                <w:sz w:val="18"/>
                <w:szCs w:val="18"/>
              </w:rPr>
              <w:t>条；《大气污染防治法》第99条、第123条；</w:t>
            </w:r>
          </w:p>
          <w:p w14:paraId="22E7B18C">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《环境保护法》第63条；</w:t>
            </w:r>
          </w:p>
          <w:p w14:paraId="20ECD91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《贵州省环境保护条例》第55条。</w:t>
            </w:r>
          </w:p>
        </w:tc>
        <w:tc>
          <w:tcPr>
            <w:tcW w:w="6066" w:type="dxa"/>
            <w:tcBorders>
              <w:left w:val="double" w:color="auto" w:sz="4" w:space="0"/>
            </w:tcBorders>
            <w:vAlign w:val="center"/>
          </w:tcPr>
          <w:p w14:paraId="1D663C63">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1A64806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0B7130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3BE40EF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4B67BF5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646D88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68D922D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C3E5167">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150867F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16754209">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5A7D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630" w:type="dxa"/>
            <w:vAlign w:val="center"/>
          </w:tcPr>
          <w:p w14:paraId="1D744CBA">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1B51830">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28C8EE00">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违反污染事故管理规定的处罚</w:t>
            </w:r>
          </w:p>
        </w:tc>
        <w:tc>
          <w:tcPr>
            <w:tcW w:w="1470" w:type="dxa"/>
            <w:vAlign w:val="center"/>
          </w:tcPr>
          <w:p w14:paraId="2F3F3321">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94</w:t>
            </w:r>
            <w:r>
              <w:rPr>
                <w:rFonts w:hint="eastAsia" w:ascii="宋体" w:hAnsi="宋体" w:eastAsia="宋体" w:cs="宋体"/>
                <w:color w:val="auto"/>
                <w:kern w:val="0"/>
                <w:sz w:val="18"/>
                <w:szCs w:val="18"/>
              </w:rPr>
              <w:t>条；《大气污染防治法》第122、127条；</w:t>
            </w:r>
          </w:p>
          <w:p w14:paraId="35068B5D">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《固体废物污染环境防治法》第82</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w:t>
            </w:r>
          </w:p>
          <w:p w14:paraId="37D4126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《贵州省环境保护条例》第71条。</w:t>
            </w:r>
          </w:p>
        </w:tc>
        <w:tc>
          <w:tcPr>
            <w:tcW w:w="6066" w:type="dxa"/>
            <w:tcBorders>
              <w:left w:val="double" w:color="auto" w:sz="4" w:space="0"/>
            </w:tcBorders>
            <w:vAlign w:val="center"/>
          </w:tcPr>
          <w:p w14:paraId="722D0CE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656B733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0DE6F48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54C3B5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3ED8BA7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7D3054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0B9726A">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D40A454">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3FFD7EA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75FF0716">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0DED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630" w:type="dxa"/>
            <w:vAlign w:val="center"/>
          </w:tcPr>
          <w:p w14:paraId="2E157FDC">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64A7B21B">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0B80FE97">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不正常运行或者擅自拆除、闲置污染处理设施的处罚</w:t>
            </w:r>
          </w:p>
        </w:tc>
        <w:tc>
          <w:tcPr>
            <w:tcW w:w="1470" w:type="dxa"/>
            <w:vAlign w:val="center"/>
          </w:tcPr>
          <w:p w14:paraId="64619B01">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《环境保护法》第63条第3项；《水污染防治法》第83条；</w:t>
            </w:r>
          </w:p>
          <w:p w14:paraId="54280C45">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《大气污染防治法》第20</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99条、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100条、</w:t>
            </w:r>
            <w:r>
              <w:rPr>
                <w:rFonts w:hint="eastAsia" w:ascii="宋体" w:hAnsi="宋体" w:eastAsia="宋体" w:cs="宋体"/>
                <w:color w:val="auto"/>
                <w:kern w:val="0"/>
                <w:sz w:val="18"/>
                <w:szCs w:val="18"/>
              </w:rPr>
              <w:t>第123条；《环境噪声污染防治法》第15、</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50条；</w:t>
            </w:r>
          </w:p>
          <w:p w14:paraId="5849FC7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《固体废物污染环境防治法》第68条、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75条；《贵州省环境保护条例》第43、</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65条。</w:t>
            </w:r>
          </w:p>
        </w:tc>
        <w:tc>
          <w:tcPr>
            <w:tcW w:w="6066" w:type="dxa"/>
            <w:tcBorders>
              <w:left w:val="double" w:color="auto" w:sz="4" w:space="0"/>
            </w:tcBorders>
            <w:vAlign w:val="center"/>
          </w:tcPr>
          <w:p w14:paraId="67FE059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0A8493A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26F5EC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2512D74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5F2E4C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43E357C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3A0CEDF">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34E3CAD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7496C73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Merge w:val="restart"/>
            <w:vAlign w:val="center"/>
          </w:tcPr>
          <w:p w14:paraId="1E78F195">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9DE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630" w:type="dxa"/>
            <w:vAlign w:val="center"/>
          </w:tcPr>
          <w:p w14:paraId="4DEB0117">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9D7D323">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2CE53023">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在禁止建设区域内违法建设的处罚</w:t>
            </w:r>
          </w:p>
        </w:tc>
        <w:tc>
          <w:tcPr>
            <w:tcW w:w="1470" w:type="dxa"/>
            <w:vAlign w:val="center"/>
          </w:tcPr>
          <w:p w14:paraId="7C80FF20">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9</w:t>
            </w:r>
            <w:r>
              <w:rPr>
                <w:rFonts w:hint="eastAsia" w:ascii="宋体" w:hAnsi="宋体" w:eastAsia="宋体" w:cs="宋体"/>
                <w:color w:val="auto"/>
                <w:kern w:val="0"/>
                <w:sz w:val="18"/>
                <w:szCs w:val="18"/>
              </w:rPr>
              <w:t>1条；</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大气污染防治法</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第118条；</w:t>
            </w:r>
            <w:r>
              <w:rPr>
                <w:rFonts w:hint="eastAsia" w:ascii="宋体" w:hAnsi="宋体" w:eastAsia="宋体" w:cs="宋体"/>
                <w:color w:val="auto"/>
                <w:kern w:val="0"/>
                <w:sz w:val="18"/>
                <w:szCs w:val="18"/>
              </w:rPr>
              <w:t>《固体废物污染环境防治法》第68条；</w:t>
            </w:r>
          </w:p>
          <w:p w14:paraId="3B0C5AEB">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《贵州省环境保护条例》第32、60条。</w:t>
            </w:r>
          </w:p>
        </w:tc>
        <w:tc>
          <w:tcPr>
            <w:tcW w:w="6066" w:type="dxa"/>
            <w:tcBorders>
              <w:left w:val="double" w:color="auto" w:sz="4" w:space="0"/>
            </w:tcBorders>
            <w:vAlign w:val="center"/>
          </w:tcPr>
          <w:p w14:paraId="4D2E111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76FC491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27D9B06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54C6201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064F359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2805A4F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4380497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0A3FD24">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r>
              <w:rPr>
                <w:rFonts w:hint="eastAsia" w:ascii="宋体" w:hAnsi="宋体" w:eastAsia="宋体" w:cs="宋体"/>
                <w:color w:val="auto"/>
                <w:kern w:val="0"/>
                <w:sz w:val="18"/>
                <w:szCs w:val="18"/>
              </w:rPr>
              <w:t xml:space="preserve">                                                                                                                                          </w:t>
            </w:r>
          </w:p>
        </w:tc>
        <w:tc>
          <w:tcPr>
            <w:tcW w:w="1170" w:type="dxa"/>
            <w:vAlign w:val="center"/>
          </w:tcPr>
          <w:p w14:paraId="70E6540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110" w:type="dxa"/>
            <w:vMerge w:val="continue"/>
            <w:vAlign w:val="center"/>
          </w:tcPr>
          <w:p w14:paraId="63700209">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E86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222098D">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7968AFAA">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1105E947">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违反排污口设置规定的处罚</w:t>
            </w:r>
          </w:p>
        </w:tc>
        <w:tc>
          <w:tcPr>
            <w:tcW w:w="1470" w:type="dxa"/>
            <w:vAlign w:val="center"/>
          </w:tcPr>
          <w:p w14:paraId="1EA4AEBE">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84</w:t>
            </w:r>
            <w:r>
              <w:rPr>
                <w:rFonts w:hint="eastAsia" w:ascii="宋体" w:hAnsi="宋体" w:eastAsia="宋体" w:cs="宋体"/>
                <w:color w:val="auto"/>
                <w:kern w:val="0"/>
                <w:sz w:val="18"/>
                <w:szCs w:val="18"/>
              </w:rPr>
              <w:t>条；《大气污染防治法》第20、100条；</w:t>
            </w:r>
          </w:p>
          <w:p w14:paraId="19EFDF0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《贵州省环境保护条例》</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42条、</w:t>
            </w:r>
            <w:r>
              <w:rPr>
                <w:rFonts w:hint="eastAsia" w:ascii="宋体" w:hAnsi="宋体" w:eastAsia="宋体" w:cs="宋体"/>
                <w:color w:val="auto"/>
                <w:kern w:val="0"/>
                <w:sz w:val="18"/>
                <w:szCs w:val="18"/>
              </w:rPr>
              <w:t>第</w:t>
            </w:r>
            <w:r>
              <w:rPr>
                <w:rFonts w:hint="eastAsia" w:ascii="宋体" w:hAnsi="宋体" w:eastAsia="宋体" w:cs="宋体"/>
                <w:color w:val="auto"/>
                <w:kern w:val="0"/>
                <w:sz w:val="18"/>
                <w:szCs w:val="18"/>
                <w:lang w:val="en-US" w:eastAsia="zh-CN"/>
              </w:rPr>
              <w:t>64</w:t>
            </w:r>
            <w:r>
              <w:rPr>
                <w:rFonts w:hint="eastAsia" w:ascii="宋体" w:hAnsi="宋体" w:eastAsia="宋体" w:cs="宋体"/>
                <w:color w:val="auto"/>
                <w:kern w:val="0"/>
                <w:sz w:val="18"/>
                <w:szCs w:val="18"/>
              </w:rPr>
              <w:t>条。</w:t>
            </w:r>
          </w:p>
        </w:tc>
        <w:tc>
          <w:tcPr>
            <w:tcW w:w="6066" w:type="dxa"/>
            <w:tcBorders>
              <w:left w:val="double" w:color="auto" w:sz="4" w:space="0"/>
            </w:tcBorders>
            <w:vAlign w:val="center"/>
          </w:tcPr>
          <w:p w14:paraId="551DAD3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627E780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51B87E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718E58E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B21DD6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390065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5E8A7C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263E02B">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696A812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20908714">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53C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4EB6D21">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08321A47">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7761E33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违反备案制度的处罚</w:t>
            </w:r>
          </w:p>
        </w:tc>
        <w:tc>
          <w:tcPr>
            <w:tcW w:w="1470" w:type="dxa"/>
            <w:vAlign w:val="center"/>
          </w:tcPr>
          <w:p w14:paraId="610934A9">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《中华人民共和国放射性污染防治法》第29条</w:t>
            </w:r>
          </w:p>
          <w:p w14:paraId="692CB62E">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《土壤污染防治法》第85条、第95条</w:t>
            </w:r>
          </w:p>
          <w:p w14:paraId="0AD88C6C">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《放射性同位素与射线装置安全和防护条例》第23、56条</w:t>
            </w:r>
          </w:p>
          <w:p w14:paraId="16EB287C">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《放射性同位素与射线装置安全许可管理办法》第35、38条</w:t>
            </w:r>
          </w:p>
          <w:p w14:paraId="2EE20453">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《放射性物品运输安全管理条例》第37、66条</w:t>
            </w:r>
          </w:p>
          <w:p w14:paraId="0396E5D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《放射性物品运输安全监督管理办法》第32条。</w:t>
            </w:r>
          </w:p>
        </w:tc>
        <w:tc>
          <w:tcPr>
            <w:tcW w:w="6066" w:type="dxa"/>
            <w:tcBorders>
              <w:left w:val="double" w:color="auto" w:sz="4" w:space="0"/>
            </w:tcBorders>
            <w:vAlign w:val="center"/>
          </w:tcPr>
          <w:p w14:paraId="01B7295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69963EC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68BA077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2E85C2A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35AA5BA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39A73AF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43EB3CD6">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7FDCBA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、乌江赤水河流域环境监管局、清水江都柳江流域环境监管局、南北盘江红水河流域环境监管局、土壤生态处</w:t>
            </w:r>
          </w:p>
        </w:tc>
        <w:tc>
          <w:tcPr>
            <w:tcW w:w="1170" w:type="dxa"/>
            <w:vAlign w:val="center"/>
          </w:tcPr>
          <w:p w14:paraId="0796182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38504503">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51A2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950CD15">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26017535">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7430CE3D">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违反报告制度的处罚</w:t>
            </w:r>
          </w:p>
        </w:tc>
        <w:tc>
          <w:tcPr>
            <w:tcW w:w="1470" w:type="dxa"/>
            <w:vAlign w:val="center"/>
          </w:tcPr>
          <w:p w14:paraId="14EC113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《放射性污染防治法》第49条。</w:t>
            </w:r>
          </w:p>
        </w:tc>
        <w:tc>
          <w:tcPr>
            <w:tcW w:w="6066" w:type="dxa"/>
            <w:tcBorders>
              <w:left w:val="double" w:color="auto" w:sz="4" w:space="0"/>
            </w:tcBorders>
            <w:vAlign w:val="center"/>
          </w:tcPr>
          <w:p w14:paraId="447EF98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立案责任：在检查中发现或者接到举报、控告的环境违法行为或者移送的环境违法案件，应予以审查，决定是否立案。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环保部门对涉及违法生产、销售、使用、转让、进口、贮存放射性同位素和射线装置的案件，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对暂扣、吊销许可证或者其他许可证件的，由厅重大行政处罚案件审查小组集体研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依照生效的行政处罚决定，监督改正或吊销采矿许可证。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3CDE188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0CF8E89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1E08659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735027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7811F57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91E46E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0C392EC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1F185DB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60EB4FE6">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58D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FCAFB11">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7A883CF7">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50514560">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违反规定安装监测、自动监控设备的处罚</w:t>
            </w:r>
          </w:p>
        </w:tc>
        <w:tc>
          <w:tcPr>
            <w:tcW w:w="1470" w:type="dxa"/>
            <w:vAlign w:val="center"/>
          </w:tcPr>
          <w:p w14:paraId="73219A7E">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《水污染防治法》第</w:t>
            </w:r>
            <w:r>
              <w:rPr>
                <w:rFonts w:hint="eastAsia" w:ascii="宋体" w:hAnsi="宋体" w:eastAsia="宋体" w:cs="宋体"/>
                <w:color w:val="auto"/>
                <w:kern w:val="0"/>
                <w:sz w:val="18"/>
                <w:szCs w:val="18"/>
                <w:lang w:val="en-US" w:eastAsia="zh-CN"/>
              </w:rPr>
              <w:t>23</w:t>
            </w:r>
            <w:r>
              <w:rPr>
                <w:rFonts w:hint="eastAsia" w:ascii="宋体" w:hAnsi="宋体" w:eastAsia="宋体" w:cs="宋体"/>
                <w:color w:val="auto"/>
                <w:kern w:val="0"/>
                <w:sz w:val="18"/>
                <w:szCs w:val="18"/>
              </w:rPr>
              <w:t>条、第</w:t>
            </w:r>
            <w:r>
              <w:rPr>
                <w:rFonts w:hint="eastAsia" w:ascii="宋体" w:hAnsi="宋体" w:eastAsia="宋体" w:cs="宋体"/>
                <w:color w:val="auto"/>
                <w:kern w:val="0"/>
                <w:sz w:val="18"/>
                <w:szCs w:val="18"/>
                <w:lang w:val="en-US" w:eastAsia="zh-CN"/>
              </w:rPr>
              <w:t>82</w:t>
            </w:r>
            <w:r>
              <w:rPr>
                <w:rFonts w:hint="eastAsia" w:ascii="宋体" w:hAnsi="宋体" w:eastAsia="宋体" w:cs="宋体"/>
                <w:color w:val="auto"/>
                <w:kern w:val="0"/>
                <w:sz w:val="18"/>
                <w:szCs w:val="18"/>
              </w:rPr>
              <w:t>条；</w:t>
            </w:r>
          </w:p>
          <w:p w14:paraId="05B613FD">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《大气污染防治法》第24、100条； </w:t>
            </w:r>
          </w:p>
          <w:p w14:paraId="798B1DF6">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《污染源自动监控设施监督现场监督检查办法》第17条、第18条、19条、第20条、第22条；</w:t>
            </w:r>
          </w:p>
          <w:p w14:paraId="2BD89D3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《污染源自动监控管理办法》第16条、第17条、第18条。</w:t>
            </w:r>
          </w:p>
        </w:tc>
        <w:tc>
          <w:tcPr>
            <w:tcW w:w="6066" w:type="dxa"/>
            <w:tcBorders>
              <w:left w:val="double" w:color="auto" w:sz="4" w:space="0"/>
            </w:tcBorders>
            <w:vAlign w:val="center"/>
          </w:tcPr>
          <w:p w14:paraId="20A6677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1.现场取证责任：现场检查时，对企业现场违法行为进行调查取证，执法人员不得少于2人，并向当事人或有关人员出示证件。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2.立案审查责任：对案件的违法事实、收集的证据、办案的程序、法律适用、处罚种类和幅度等进行审查，提出处理意见。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3.告知申诉责任：在作出处罚决定之前，应当告知当事人作出处罚决定的事由、理由及依据，并告知当事人依法享有申诉的权力及申诉的时限。                                         4.决定公开责任：依法应当给予行政处罚的，制作盖有行政机关印章的行政处罚决定书，载明违法事实、证据、处罚种类和依据等内容，公开行政处罚决定。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5.送达责任：行政处罚决定书在决定后在规定时限内依照《民事诉讼法》的有关规定送达企业。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6.执行责任：督促企业履行生效的行政处罚决定，对逾期不履行的，依照《行政强制法》的规定执行。                                                 </w:t>
            </w:r>
          </w:p>
        </w:tc>
        <w:tc>
          <w:tcPr>
            <w:tcW w:w="1467" w:type="dxa"/>
            <w:vAlign w:val="center"/>
          </w:tcPr>
          <w:p w14:paraId="3E4F673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452EE2A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3412A76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3017BFF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122FFF8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CDB7AB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780896D">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5C48434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0DA37849">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5DB2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8F635DF">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1533F5E8">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49DC27A5">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报告编制机构工作失职、不负责任或弄虚作假，致使报告失实的处罚</w:t>
            </w:r>
          </w:p>
        </w:tc>
        <w:tc>
          <w:tcPr>
            <w:tcW w:w="1470" w:type="dxa"/>
            <w:vAlign w:val="center"/>
          </w:tcPr>
          <w:p w14:paraId="30042A8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《环境影响评价法》第32条；《建设项目环境保护管理条例》第25条；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《危险化学品环境管理登记办法（试行）》第35条。</w:t>
            </w:r>
          </w:p>
        </w:tc>
        <w:tc>
          <w:tcPr>
            <w:tcW w:w="6066" w:type="dxa"/>
            <w:tcBorders>
              <w:left w:val="double" w:color="auto" w:sz="4" w:space="0"/>
            </w:tcBorders>
            <w:vAlign w:val="center"/>
          </w:tcPr>
          <w:p w14:paraId="7F3983C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拒绝或者阻碍环境保护部门监督检查或者在接受监督检查时弄虚作假的、危险化学品生产使用企业没有及时申请办理危险化品环境管理登记，没有领取危险化品生产使用环境环境管理登记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14B9E43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0754A0C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0E5CFC5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E4FE27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6AD9238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485BD764">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1FF2B7F2">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2A32450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37D94289">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549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317BAE4">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5F118878">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552063E6">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未取得委托进行机动车船排气污染检测或在检测中弄虚作假的处罚</w:t>
            </w:r>
          </w:p>
        </w:tc>
        <w:tc>
          <w:tcPr>
            <w:tcW w:w="1470" w:type="dxa"/>
            <w:vAlign w:val="center"/>
          </w:tcPr>
          <w:p w14:paraId="3775F08F">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《大气污染防治法》第53</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rPr>
              <w:t>109条</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112条</w:t>
            </w:r>
            <w:r>
              <w:rPr>
                <w:rFonts w:hint="eastAsia" w:ascii="宋体" w:hAnsi="宋体" w:eastAsia="宋体" w:cs="宋体"/>
                <w:color w:val="auto"/>
                <w:kern w:val="0"/>
                <w:sz w:val="18"/>
                <w:szCs w:val="18"/>
              </w:rPr>
              <w:t>；</w:t>
            </w:r>
          </w:p>
          <w:p w14:paraId="516225A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《机动车环保检验机构管理规定》第3条。</w:t>
            </w:r>
          </w:p>
        </w:tc>
        <w:tc>
          <w:tcPr>
            <w:tcW w:w="6066" w:type="dxa"/>
            <w:tcBorders>
              <w:left w:val="double" w:color="auto" w:sz="4" w:space="0"/>
            </w:tcBorders>
            <w:vAlign w:val="center"/>
          </w:tcPr>
          <w:p w14:paraId="792D297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1.立案责任：环保部门对依据监督检查职权或者通过举报、投诉、其他部门移送、上级部门交办等途径发现的违法行为线索，决定是否立案。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7.法律法规规章文件规定应履行的其他责任。</w:t>
            </w:r>
          </w:p>
        </w:tc>
        <w:tc>
          <w:tcPr>
            <w:tcW w:w="1467" w:type="dxa"/>
            <w:vAlign w:val="center"/>
          </w:tcPr>
          <w:p w14:paraId="22E63D3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36F3E28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09FF96B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B2E836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1281FF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2F80ED1D">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571159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4C1D49C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1A02049B">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420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65CD5D8">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3611CF10">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61E52481">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违法生产、销售、使用、转让、进口、贮存放射性同位素和射线装置的处罚</w:t>
            </w:r>
          </w:p>
        </w:tc>
        <w:tc>
          <w:tcPr>
            <w:tcW w:w="1470" w:type="dxa"/>
            <w:vAlign w:val="center"/>
          </w:tcPr>
          <w:p w14:paraId="27486C64">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《放射性污染防治法》第53条；</w:t>
            </w:r>
          </w:p>
          <w:p w14:paraId="2F91F93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《放射性同位素与射线装置安全和防护条例》第52条。</w:t>
            </w:r>
          </w:p>
        </w:tc>
        <w:tc>
          <w:tcPr>
            <w:tcW w:w="6066" w:type="dxa"/>
            <w:tcBorders>
              <w:left w:val="double" w:color="auto" w:sz="4" w:space="0"/>
            </w:tcBorders>
            <w:vAlign w:val="center"/>
          </w:tcPr>
          <w:p w14:paraId="7DC75C0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立案责任：在检查中发现或者接到举报、控告的环境违法行为或者移送的环境违法案件，应予以审查，决定是否立案。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环保部门对涉及违法生产、销售、使用、转让、进口、贮存放射性同位素和射线装置的案件，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对暂扣、吊销许可证或者其他许可证件的，由厅重大行政处罚案件审查小组集体研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依照生效的行政处罚决定，监督改正或吊销采矿许可证。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6DFB725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EC2630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517BBAD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《行政复议法》第9条；</w:t>
            </w:r>
          </w:p>
          <w:p w14:paraId="44C0C76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1F7E50C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26F0961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572" w:type="dxa"/>
            <w:vAlign w:val="center"/>
          </w:tcPr>
          <w:p w14:paraId="04D56B9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5CE555C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5F73D99D">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C00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A03B2C9">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1E58339">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2C2DAF59">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擅自改变环境影响报告书（表）中所批准的电磁辐射设备功率</w:t>
            </w:r>
          </w:p>
        </w:tc>
        <w:tc>
          <w:tcPr>
            <w:tcW w:w="1470" w:type="dxa"/>
            <w:vAlign w:val="center"/>
          </w:tcPr>
          <w:p w14:paraId="614090F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《电磁辐射环境保护管理办法》第16条、第27条。</w:t>
            </w:r>
          </w:p>
        </w:tc>
        <w:tc>
          <w:tcPr>
            <w:tcW w:w="6066" w:type="dxa"/>
            <w:tcBorders>
              <w:left w:val="double" w:color="auto" w:sz="4" w:space="0"/>
            </w:tcBorders>
            <w:vAlign w:val="center"/>
          </w:tcPr>
          <w:p w14:paraId="190648D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立案责任：在检查中发现或者接到举报、控告的擅自改变环境影响报告书（表）中所批准的电磁辐射设备功率等环境违法行为或者移送的此类环境违法案件，应予以审查，决定是否立案。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对暂扣、吊销许可证或者其他许可证件的，由厅重大行政处罚案件审查小组集体研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逾期不采取治理措施，经催告仍不治理的，可以指定有治理能力的单位代为治理。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28D48C3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2943637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3B1F2B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《行政复议法》第9条；</w:t>
            </w:r>
          </w:p>
          <w:p w14:paraId="295DD01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50BC02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588675A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572" w:type="dxa"/>
            <w:vAlign w:val="center"/>
          </w:tcPr>
          <w:p w14:paraId="77BB711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1865597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74109C8E">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3EFD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F5EC1F5">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526F9E92">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3B4336F5">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无许可证生产或未按证生产或使用的处罚</w:t>
            </w:r>
          </w:p>
        </w:tc>
        <w:tc>
          <w:tcPr>
            <w:tcW w:w="1470" w:type="dxa"/>
            <w:vAlign w:val="center"/>
          </w:tcPr>
          <w:p w14:paraId="73CC96F7">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《消耗臭氧层物质管理条例》第31条、第32条、第33条；</w:t>
            </w:r>
          </w:p>
          <w:p w14:paraId="16F361E9">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《废弃电器电子产品回收处理管理条例》第28条；</w:t>
            </w:r>
          </w:p>
          <w:p w14:paraId="409D008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《新化学物质环境管理办法》第45条。</w:t>
            </w:r>
          </w:p>
        </w:tc>
        <w:tc>
          <w:tcPr>
            <w:tcW w:w="6066" w:type="dxa"/>
            <w:tcBorders>
              <w:left w:val="double" w:color="auto" w:sz="4" w:space="0"/>
            </w:tcBorders>
            <w:vAlign w:val="center"/>
          </w:tcPr>
          <w:p w14:paraId="2CD9B91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5C8D8C7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693EA8F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BB1401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24D7F31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706D64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A8AC352">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46819FB4">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58E243E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01EAF322">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073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B5ED7A8">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D32954A">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57509357">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违法消耗臭氧层物质管理规定的处罚</w:t>
            </w:r>
          </w:p>
        </w:tc>
        <w:tc>
          <w:tcPr>
            <w:tcW w:w="1470" w:type="dxa"/>
            <w:vAlign w:val="center"/>
          </w:tcPr>
          <w:p w14:paraId="7C13809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《消耗臭氧层物质管理条例》第34条、第35条、第36条、第37条、第38条。</w:t>
            </w:r>
          </w:p>
        </w:tc>
        <w:tc>
          <w:tcPr>
            <w:tcW w:w="6066" w:type="dxa"/>
            <w:tcBorders>
              <w:left w:val="double" w:color="auto" w:sz="4" w:space="0"/>
            </w:tcBorders>
            <w:vAlign w:val="center"/>
          </w:tcPr>
          <w:p w14:paraId="2F9B001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1DAE3E9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3A3678F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AA8F9F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18CD35E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6BAFEC3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63B6F459">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2570F8AE">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141E7AA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61ED66AE">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49B4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C359589">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5BFF62E3">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4553A195">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对未经许可擅自从事废旧放射源或者其他放射性固体废物的贮存、处置活动的；未按许可证或国家规定从事贮存、处置活动的处罚</w:t>
            </w:r>
          </w:p>
        </w:tc>
        <w:tc>
          <w:tcPr>
            <w:tcW w:w="1470" w:type="dxa"/>
            <w:vAlign w:val="center"/>
          </w:tcPr>
          <w:p w14:paraId="10961718">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《放射性污染防治法》第57条；</w:t>
            </w:r>
          </w:p>
          <w:p w14:paraId="3D2DAA0B">
            <w:pPr>
              <w:widowControl/>
              <w:wordWrap/>
              <w:adjustRightInd/>
              <w:snapToGrid/>
              <w:spacing w:line="24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《放射性废物安全管理条例》第38条；</w:t>
            </w:r>
          </w:p>
          <w:p w14:paraId="7005A02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《放射性同位素与射线装置安全和防护管理办法》第57条。</w:t>
            </w:r>
          </w:p>
        </w:tc>
        <w:tc>
          <w:tcPr>
            <w:tcW w:w="6066" w:type="dxa"/>
            <w:tcBorders>
              <w:left w:val="double" w:color="auto" w:sz="4" w:space="0"/>
            </w:tcBorders>
            <w:vAlign w:val="center"/>
          </w:tcPr>
          <w:p w14:paraId="05E6C4F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立案责任：在检查中发现或者接到举报、控告的未经许可、批准或者不按照规定从事</w:t>
            </w:r>
            <w:r>
              <w:rPr>
                <w:rFonts w:hint="eastAsia" w:ascii="宋体" w:hAnsi="宋体" w:eastAsia="宋体" w:cs="宋体"/>
                <w:color w:val="auto"/>
                <w:kern w:val="0"/>
                <w:sz w:val="18"/>
                <w:szCs w:val="18"/>
                <w:lang w:eastAsia="zh-CN"/>
              </w:rPr>
              <w:t>放射性</w:t>
            </w:r>
            <w:r>
              <w:rPr>
                <w:rFonts w:hint="eastAsia" w:ascii="宋体" w:hAnsi="宋体" w:eastAsia="宋体" w:cs="宋体"/>
                <w:color w:val="auto"/>
                <w:kern w:val="0"/>
                <w:sz w:val="18"/>
                <w:szCs w:val="18"/>
              </w:rPr>
              <w:t>固体废物、废旧放射源收贮等环境违法行为或者移送的此类环境违法案件，应予以审查，决定是否立案。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对暂扣、吊销许可证或者其他许可证件的，由厅重大行政处罚案件审查小组集体研究。</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逾期不采取治理措施，经催告仍不治理的，可以指定有治理能力的单位代为治理。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2CDE75B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6DE05C7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73F5E5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7946AC2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125E047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091F784">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E61F3B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核</w:t>
            </w:r>
            <w:r>
              <w:rPr>
                <w:rFonts w:hint="eastAsia" w:ascii="宋体" w:hAnsi="宋体" w:eastAsia="宋体" w:cs="宋体"/>
                <w:color w:val="auto"/>
                <w:kern w:val="0"/>
                <w:sz w:val="18"/>
                <w:szCs w:val="18"/>
              </w:rPr>
              <w:t>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5FB5D59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2D4362A0">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BB0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5582B90">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vAlign w:val="center"/>
          </w:tcPr>
          <w:p w14:paraId="41C11AF9">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4DD8D8B9">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放射性固体废物贮存、处置单位未按照规定建立情况记录档案，或者未按照规定进行如实记录的处罚</w:t>
            </w:r>
          </w:p>
        </w:tc>
        <w:tc>
          <w:tcPr>
            <w:tcW w:w="1470" w:type="dxa"/>
            <w:vAlign w:val="center"/>
          </w:tcPr>
          <w:p w14:paraId="768BBE2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《放射性废物安全管理条例》第39条。</w:t>
            </w:r>
          </w:p>
        </w:tc>
        <w:tc>
          <w:tcPr>
            <w:tcW w:w="6066" w:type="dxa"/>
            <w:tcBorders>
              <w:left w:val="double" w:color="auto" w:sz="4" w:space="0"/>
            </w:tcBorders>
            <w:vAlign w:val="center"/>
          </w:tcPr>
          <w:p w14:paraId="392F31C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立案责任：在检查中发现或者接到举报、控告的未按规定建立放射性固体废物贮存、处置情况记录档案，或者未按照规定如实记录等环境违法行为或者移送的此类环境违法案件，应予以审查，决定是否立案。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4D53C3B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1EAE24C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322CD6D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497A6CC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3844DEB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391B67DB">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F1E16D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70EF57B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2699E77F">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3834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EAAC067">
            <w:pPr>
              <w:numPr>
                <w:ilvl w:val="0"/>
                <w:numId w:val="1"/>
              </w:numPr>
              <w:spacing w:line="240" w:lineRule="exact"/>
              <w:ind w:left="425" w:leftChars="0" w:hanging="425" w:firstLineChars="0"/>
              <w:jc w:val="both"/>
              <w:rPr>
                <w:rFonts w:hint="eastAsia" w:ascii="黑体" w:hAnsi="黑体" w:eastAsia="黑体" w:cs="黑体"/>
                <w:b/>
                <w:bCs/>
                <w:szCs w:val="21"/>
              </w:rPr>
            </w:pPr>
          </w:p>
        </w:tc>
        <w:tc>
          <w:tcPr>
            <w:tcW w:w="900" w:type="dxa"/>
            <w:vAlign w:val="center"/>
          </w:tcPr>
          <w:p w14:paraId="43D793A8">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080" w:type="dxa"/>
            <w:vAlign w:val="center"/>
          </w:tcPr>
          <w:p w14:paraId="25AACBB5">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对违法托运放射性物品的处罚</w:t>
            </w:r>
          </w:p>
        </w:tc>
        <w:tc>
          <w:tcPr>
            <w:tcW w:w="1470" w:type="dxa"/>
            <w:vAlign w:val="center"/>
          </w:tcPr>
          <w:p w14:paraId="3EE3C4C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《放射性物品运输安全管理条例》第59条、第61条、第63条。</w:t>
            </w:r>
          </w:p>
        </w:tc>
        <w:tc>
          <w:tcPr>
            <w:tcW w:w="6066" w:type="dxa"/>
            <w:tcBorders>
              <w:left w:val="double" w:color="auto" w:sz="4" w:space="0"/>
            </w:tcBorders>
            <w:vAlign w:val="center"/>
          </w:tcPr>
          <w:p w14:paraId="5C08D0F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立案责任：在检查中发现违法托运放射性物品等环境违法行为或者移送的此类环境违法案件，应予以审查，决定是否立案。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调查责任：指定专人负责，与当事人有直接利害关系的应当回避。执法人员不得少于两人，调查时应出示执法证件，允许当事人辩解陈述，执法人员应保守有关秘密。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审查责任：应当对案件违法事实、证据、调查取证程序、法律适用、处罚种类和幅度、当事人陈述和申辩理由等方面进行审查，提出处理意见（主要证据不足的，及时调查补充）。</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告知责任：在做出行政处罚决定前，应制作《环境行政处罚事先（听证）告知书》送达当事人，告知当事人违法事实及其享有的陈述、申辩、要求听证等权利。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决定责任：根据审理情况决定是否予以行政处罚，依法应当给予行政处罚的，应制作行政处罚决定书，载明违法事实和证据、处罚依据和内容、申请行政复议或提起行政诉讼的途径和期限等内容。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送达责任：行政处罚决定书应依法按时送达当事人。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执行责任：监督当事人在决定的期限内，履行生效的行政处罚决定。当事人在法定期限内不申请行政复议或者提起行政诉讼，又不履行的，环保部门可依法采取加处罚款、查封扣押或向人民法院申请强制执行等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信息公开：依法按时公开行政处罚决定书。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其他法律法规规章文件规定应履行的责任。</w:t>
            </w:r>
          </w:p>
        </w:tc>
        <w:tc>
          <w:tcPr>
            <w:tcW w:w="1467" w:type="dxa"/>
            <w:vAlign w:val="center"/>
          </w:tcPr>
          <w:p w14:paraId="55F7ECD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4870A33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04DA15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0529CA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2308B67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2C00297D">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9584D2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核与辐射安全</w:t>
            </w:r>
            <w:r>
              <w:rPr>
                <w:rFonts w:hint="eastAsia" w:ascii="宋体" w:hAnsi="宋体" w:eastAsia="宋体" w:cs="宋体"/>
                <w:color w:val="auto"/>
                <w:kern w:val="0"/>
                <w:sz w:val="18"/>
                <w:szCs w:val="18"/>
                <w:lang w:eastAsia="zh-CN"/>
              </w:rPr>
              <w:t>监管</w:t>
            </w:r>
            <w:r>
              <w:rPr>
                <w:rFonts w:hint="eastAsia" w:ascii="宋体" w:hAnsi="宋体" w:eastAsia="宋体" w:cs="宋体"/>
                <w:color w:val="auto"/>
                <w:kern w:val="0"/>
                <w:sz w:val="18"/>
                <w:szCs w:val="18"/>
              </w:rPr>
              <w:t>处</w:t>
            </w:r>
            <w:r>
              <w:rPr>
                <w:rFonts w:hint="eastAsia" w:ascii="宋体" w:hAnsi="宋体" w:eastAsia="宋体" w:cs="宋体"/>
                <w:color w:val="auto"/>
                <w:kern w:val="0"/>
                <w:sz w:val="18"/>
                <w:szCs w:val="18"/>
                <w:lang w:eastAsia="zh-CN"/>
              </w:rPr>
              <w:t>、乌江赤水河流域环境监管局、清水江都柳江流域环境监管局、南北盘江红水河流域环境监管局</w:t>
            </w:r>
          </w:p>
        </w:tc>
        <w:tc>
          <w:tcPr>
            <w:tcW w:w="1170" w:type="dxa"/>
            <w:vAlign w:val="center"/>
          </w:tcPr>
          <w:p w14:paraId="4887E19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厅法定代表人及分管领导、内设机构负责人、具体承办人</w:t>
            </w:r>
          </w:p>
        </w:tc>
        <w:tc>
          <w:tcPr>
            <w:tcW w:w="1110" w:type="dxa"/>
            <w:vAlign w:val="center"/>
          </w:tcPr>
          <w:p w14:paraId="401C3927">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007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630" w:type="dxa"/>
            <w:shd w:val="clear" w:color="auto" w:fill="auto"/>
            <w:vAlign w:val="center"/>
          </w:tcPr>
          <w:p w14:paraId="3D5822CA">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0DE3E89A">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666378B0">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重点监管单位未履行义务的处罚</w:t>
            </w:r>
          </w:p>
        </w:tc>
        <w:tc>
          <w:tcPr>
            <w:tcW w:w="1470" w:type="dxa"/>
            <w:shd w:val="clear" w:color="auto" w:fill="FFFFFF"/>
            <w:vAlign w:val="center"/>
          </w:tcPr>
          <w:p w14:paraId="3DE33E62">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85条、第86条</w:t>
            </w:r>
          </w:p>
        </w:tc>
        <w:tc>
          <w:tcPr>
            <w:tcW w:w="6066" w:type="dxa"/>
            <w:tcBorders>
              <w:left w:val="double" w:color="auto" w:sz="4" w:space="0"/>
            </w:tcBorders>
            <w:vAlign w:val="center"/>
          </w:tcPr>
          <w:p w14:paraId="38BCF56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5E93BAE4">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467" w:type="dxa"/>
            <w:vAlign w:val="center"/>
          </w:tcPr>
          <w:p w14:paraId="30D9872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05C7C8B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B60CB2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3C37509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200173C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1E7A1A3">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44E327C9">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1B4E55B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4B63678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省政府法制办2015-1号公告事项</w:t>
            </w:r>
          </w:p>
        </w:tc>
      </w:tr>
      <w:tr w14:paraId="6814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shd w:val="clear" w:color="auto" w:fill="auto"/>
            <w:vAlign w:val="center"/>
          </w:tcPr>
          <w:p w14:paraId="11E66E21">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04763BF7">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1821EDED">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向农用地违法排污的处罚</w:t>
            </w:r>
          </w:p>
        </w:tc>
        <w:tc>
          <w:tcPr>
            <w:tcW w:w="1470" w:type="dxa"/>
            <w:shd w:val="clear" w:color="auto" w:fill="FFFFFF"/>
            <w:vAlign w:val="center"/>
          </w:tcPr>
          <w:p w14:paraId="0291C58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85条、第87条</w:t>
            </w:r>
          </w:p>
        </w:tc>
        <w:tc>
          <w:tcPr>
            <w:tcW w:w="6066" w:type="dxa"/>
            <w:tcBorders>
              <w:left w:val="double" w:color="auto" w:sz="4" w:space="0"/>
            </w:tcBorders>
            <w:vAlign w:val="center"/>
          </w:tcPr>
          <w:p w14:paraId="13EAF8B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6455AFB6">
            <w:pPr>
              <w:widowControl/>
              <w:wordWrap/>
              <w:adjustRightInd/>
              <w:snapToGrid/>
              <w:spacing w:line="240" w:lineRule="exact"/>
              <w:textAlignment w:val="auto"/>
              <w:rPr>
                <w:rFonts w:hint="eastAsia" w:ascii="宋体" w:hAnsi="宋体" w:eastAsia="宋体" w:cs="宋体"/>
                <w:bCs/>
                <w:color w:val="auto"/>
                <w:kern w:val="0"/>
                <w:sz w:val="18"/>
                <w:szCs w:val="18"/>
              </w:rPr>
            </w:pPr>
          </w:p>
        </w:tc>
        <w:tc>
          <w:tcPr>
            <w:tcW w:w="1467" w:type="dxa"/>
            <w:vAlign w:val="center"/>
          </w:tcPr>
          <w:p w14:paraId="626C575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584E598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42350D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0D47778A">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601CF32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58791E74">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618275CA">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34EA1D5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5195EC9C">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5990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630" w:type="dxa"/>
            <w:shd w:val="clear" w:color="auto" w:fill="auto"/>
            <w:vAlign w:val="center"/>
          </w:tcPr>
          <w:p w14:paraId="39AF1B56">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57B59AE2">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787E2550">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违法用于土地复垦的处罚</w:t>
            </w:r>
          </w:p>
        </w:tc>
        <w:tc>
          <w:tcPr>
            <w:tcW w:w="1470" w:type="dxa"/>
            <w:shd w:val="clear" w:color="auto" w:fill="FFFFFF"/>
            <w:vAlign w:val="center"/>
          </w:tcPr>
          <w:p w14:paraId="5EFFFB0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85条、第89条</w:t>
            </w:r>
          </w:p>
        </w:tc>
        <w:tc>
          <w:tcPr>
            <w:tcW w:w="6066" w:type="dxa"/>
            <w:tcBorders>
              <w:left w:val="double" w:color="auto" w:sz="4" w:space="0"/>
            </w:tcBorders>
            <w:vAlign w:val="center"/>
          </w:tcPr>
          <w:p w14:paraId="65E86D9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44CFCEE8">
            <w:pPr>
              <w:widowControl/>
              <w:wordWrap/>
              <w:adjustRightInd/>
              <w:snapToGrid/>
              <w:spacing w:line="240" w:lineRule="exact"/>
              <w:textAlignment w:val="auto"/>
              <w:rPr>
                <w:rFonts w:hint="eastAsia" w:ascii="宋体" w:hAnsi="宋体" w:eastAsia="宋体" w:cs="宋体"/>
                <w:bCs/>
                <w:color w:val="auto"/>
                <w:kern w:val="0"/>
                <w:sz w:val="18"/>
                <w:szCs w:val="18"/>
              </w:rPr>
            </w:pPr>
          </w:p>
        </w:tc>
        <w:tc>
          <w:tcPr>
            <w:tcW w:w="1467" w:type="dxa"/>
            <w:vAlign w:val="center"/>
          </w:tcPr>
          <w:p w14:paraId="6646E9E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6D8C07D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673EDAA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3170556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3B6859D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40B970FA">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2D001952">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1BA36F2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0913B8C1">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70A9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shd w:val="clear" w:color="auto" w:fill="auto"/>
            <w:vAlign w:val="center"/>
          </w:tcPr>
          <w:p w14:paraId="38CAB1D2">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00E7A6A9">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7D146214">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对第三方服务机构的处罚</w:t>
            </w:r>
          </w:p>
        </w:tc>
        <w:tc>
          <w:tcPr>
            <w:tcW w:w="1470" w:type="dxa"/>
            <w:shd w:val="clear" w:color="auto" w:fill="FFFFFF"/>
            <w:vAlign w:val="center"/>
          </w:tcPr>
          <w:p w14:paraId="3E94CB7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85条、第90条</w:t>
            </w:r>
          </w:p>
        </w:tc>
        <w:tc>
          <w:tcPr>
            <w:tcW w:w="6066" w:type="dxa"/>
            <w:tcBorders>
              <w:left w:val="double" w:color="auto" w:sz="4" w:space="0"/>
            </w:tcBorders>
            <w:vAlign w:val="center"/>
          </w:tcPr>
          <w:p w14:paraId="54C53FF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4DEA57A7">
            <w:pPr>
              <w:widowControl/>
              <w:wordWrap/>
              <w:adjustRightInd/>
              <w:snapToGrid/>
              <w:spacing w:line="240" w:lineRule="exact"/>
              <w:textAlignment w:val="auto"/>
              <w:rPr>
                <w:rFonts w:hint="eastAsia" w:ascii="宋体" w:hAnsi="宋体" w:eastAsia="宋体" w:cs="宋体"/>
                <w:bCs/>
                <w:color w:val="auto"/>
                <w:kern w:val="0"/>
                <w:sz w:val="18"/>
                <w:szCs w:val="18"/>
              </w:rPr>
            </w:pPr>
          </w:p>
        </w:tc>
        <w:tc>
          <w:tcPr>
            <w:tcW w:w="1467" w:type="dxa"/>
            <w:vAlign w:val="center"/>
          </w:tcPr>
          <w:p w14:paraId="3065E0A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6B6D359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4B52F49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650B1FC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5F1F648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72959745">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0EF259F6">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0899AD5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6A07F430">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606C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shd w:val="clear" w:color="auto" w:fill="auto"/>
            <w:vAlign w:val="center"/>
          </w:tcPr>
          <w:p w14:paraId="520ADA70">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3BCF1678">
            <w:pPr>
              <w:widowControl/>
              <w:wordWrap/>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72FD55C4">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风险管控和修复活动违法的处罚</w:t>
            </w:r>
          </w:p>
        </w:tc>
        <w:tc>
          <w:tcPr>
            <w:tcW w:w="1470" w:type="dxa"/>
            <w:shd w:val="clear" w:color="auto" w:fill="FFFFFF"/>
            <w:vAlign w:val="center"/>
          </w:tcPr>
          <w:p w14:paraId="110BD23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85条、第91条</w:t>
            </w:r>
          </w:p>
        </w:tc>
        <w:tc>
          <w:tcPr>
            <w:tcW w:w="6066" w:type="dxa"/>
            <w:tcBorders>
              <w:left w:val="double" w:color="auto" w:sz="4" w:space="0"/>
            </w:tcBorders>
            <w:vAlign w:val="center"/>
          </w:tcPr>
          <w:p w14:paraId="1BDA9AEB">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6223F37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33832C5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28AA3E8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5BA937A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095645B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18DC1EC6">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FCAF6DF">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78A0AA9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14777C77">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FAB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30" w:type="dxa"/>
            <w:shd w:val="clear" w:color="auto" w:fill="auto"/>
            <w:vAlign w:val="center"/>
          </w:tcPr>
          <w:p w14:paraId="042FDC19">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373CA04B">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6089291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未按照规定实施后期管理的处罚</w:t>
            </w:r>
          </w:p>
        </w:tc>
        <w:tc>
          <w:tcPr>
            <w:tcW w:w="1470" w:type="dxa"/>
            <w:shd w:val="clear" w:color="auto" w:fill="FFFFFF"/>
            <w:vAlign w:val="center"/>
          </w:tcPr>
          <w:p w14:paraId="64A064B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85条、第92条</w:t>
            </w:r>
          </w:p>
        </w:tc>
        <w:tc>
          <w:tcPr>
            <w:tcW w:w="6066" w:type="dxa"/>
            <w:tcBorders>
              <w:left w:val="double" w:color="auto" w:sz="4" w:space="0"/>
            </w:tcBorders>
            <w:vAlign w:val="center"/>
          </w:tcPr>
          <w:p w14:paraId="2E1821F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p w14:paraId="3C2F7F34">
            <w:pPr>
              <w:widowControl/>
              <w:wordWrap/>
              <w:adjustRightInd/>
              <w:snapToGrid/>
              <w:spacing w:line="240" w:lineRule="exact"/>
              <w:textAlignment w:val="auto"/>
              <w:rPr>
                <w:rFonts w:hint="eastAsia" w:ascii="宋体" w:hAnsi="宋体" w:eastAsia="宋体" w:cs="宋体"/>
                <w:bCs/>
                <w:color w:val="auto"/>
                <w:kern w:val="0"/>
                <w:sz w:val="18"/>
                <w:szCs w:val="18"/>
              </w:rPr>
            </w:pPr>
          </w:p>
        </w:tc>
        <w:tc>
          <w:tcPr>
            <w:tcW w:w="1467" w:type="dxa"/>
            <w:vAlign w:val="center"/>
          </w:tcPr>
          <w:p w14:paraId="2BB6E63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73EBD84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2684F340">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3338E394">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3A185779">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0EE5682C">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7BD24B8A">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73703246">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110" w:type="dxa"/>
            <w:vAlign w:val="center"/>
          </w:tcPr>
          <w:p w14:paraId="5F8011AA">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177E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630" w:type="dxa"/>
            <w:shd w:val="clear" w:color="auto" w:fill="auto"/>
            <w:vAlign w:val="center"/>
          </w:tcPr>
          <w:p w14:paraId="3E2D6FD6">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1D583CC2">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行政处罚</w:t>
            </w:r>
          </w:p>
        </w:tc>
        <w:tc>
          <w:tcPr>
            <w:tcW w:w="1080" w:type="dxa"/>
            <w:shd w:val="clear" w:color="auto" w:fill="FFFFFF"/>
            <w:vAlign w:val="center"/>
          </w:tcPr>
          <w:p w14:paraId="5F223278">
            <w:pPr>
              <w:widowControl/>
              <w:wordWrap/>
              <w:adjustRightInd/>
              <w:snapToGrid/>
              <w:spacing w:line="240" w:lineRule="exact"/>
              <w:jc w:val="both"/>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对常见的不履行土壤污染风险管控和修复义务行为的处罚</w:t>
            </w:r>
          </w:p>
        </w:tc>
        <w:tc>
          <w:tcPr>
            <w:tcW w:w="1470" w:type="dxa"/>
            <w:shd w:val="clear" w:color="auto" w:fill="FFFFFF"/>
            <w:vAlign w:val="center"/>
          </w:tcPr>
          <w:p w14:paraId="65610DFC">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土壤污染防治法</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85条、第94条</w:t>
            </w:r>
          </w:p>
        </w:tc>
        <w:tc>
          <w:tcPr>
            <w:tcW w:w="6066" w:type="dxa"/>
            <w:tcBorders>
              <w:left w:val="double" w:color="auto" w:sz="4" w:space="0"/>
            </w:tcBorders>
            <w:vAlign w:val="center"/>
          </w:tcPr>
          <w:p w14:paraId="6F7659AD">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8.法律法规规章文件规定应履行的其他责任。</w:t>
            </w:r>
          </w:p>
        </w:tc>
        <w:tc>
          <w:tcPr>
            <w:tcW w:w="1467" w:type="dxa"/>
            <w:vAlign w:val="center"/>
          </w:tcPr>
          <w:p w14:paraId="3E7DBA9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《行政处罚法》第15、31、37、38、39、40、42条；</w:t>
            </w:r>
          </w:p>
          <w:p w14:paraId="248E315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《环境行政处罚办法》第三章、第四章；</w:t>
            </w:r>
          </w:p>
          <w:p w14:paraId="10B37D2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《行政复议法》第9条；</w:t>
            </w:r>
          </w:p>
          <w:p w14:paraId="4C8F0E62">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《行政诉讼法》第46条；</w:t>
            </w:r>
          </w:p>
          <w:p w14:paraId="6EDA06B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《行政强制法》第12、13条和第三、四、五章。</w:t>
            </w:r>
          </w:p>
          <w:p w14:paraId="50AF3A7E">
            <w:pPr>
              <w:widowControl/>
              <w:wordWrap/>
              <w:adjustRightInd/>
              <w:snapToGrid/>
              <w:spacing w:line="240" w:lineRule="exact"/>
              <w:textAlignment w:val="auto"/>
              <w:rPr>
                <w:rFonts w:hint="eastAsia" w:ascii="宋体" w:hAnsi="宋体" w:eastAsia="宋体" w:cs="宋体"/>
                <w:color w:val="auto"/>
                <w:kern w:val="0"/>
                <w:sz w:val="18"/>
                <w:szCs w:val="18"/>
              </w:rPr>
            </w:pPr>
          </w:p>
        </w:tc>
        <w:tc>
          <w:tcPr>
            <w:tcW w:w="1572" w:type="dxa"/>
            <w:vAlign w:val="center"/>
          </w:tcPr>
          <w:p w14:paraId="55B4A233">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生态环境执法监督处、乌江赤水河流域环境监管局、清水江都柳江流域环境监管局、南北盘江红水河流域环境监管局</w:t>
            </w:r>
          </w:p>
        </w:tc>
        <w:tc>
          <w:tcPr>
            <w:tcW w:w="1170" w:type="dxa"/>
            <w:vAlign w:val="center"/>
          </w:tcPr>
          <w:p w14:paraId="7778CC61">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5E077BBE">
            <w:pPr>
              <w:widowControl/>
              <w:wordWrap/>
              <w:adjustRightInd/>
              <w:snapToGrid/>
              <w:spacing w:line="240" w:lineRule="exact"/>
              <w:textAlignment w:val="auto"/>
              <w:rPr>
                <w:rFonts w:hint="eastAsia" w:ascii="宋体" w:hAnsi="宋体" w:eastAsia="宋体" w:cs="宋体"/>
                <w:color w:val="auto"/>
                <w:kern w:val="0"/>
                <w:sz w:val="18"/>
                <w:szCs w:val="18"/>
              </w:rPr>
            </w:pPr>
          </w:p>
        </w:tc>
      </w:tr>
      <w:tr w14:paraId="2DD1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30" w:type="dxa"/>
            <w:shd w:val="clear" w:color="auto" w:fill="auto"/>
            <w:vAlign w:val="center"/>
          </w:tcPr>
          <w:p w14:paraId="7FD1D756">
            <w:pPr>
              <w:numPr>
                <w:ilvl w:val="0"/>
                <w:numId w:val="1"/>
              </w:numPr>
              <w:spacing w:line="240" w:lineRule="exact"/>
              <w:ind w:left="425" w:leftChars="0" w:hanging="425" w:firstLineChars="0"/>
              <w:jc w:val="both"/>
              <w:rPr>
                <w:rFonts w:hint="eastAsia" w:ascii="黑体" w:hAnsi="黑体" w:eastAsia="黑体" w:cs="黑体"/>
                <w:b/>
                <w:bCs/>
                <w:szCs w:val="21"/>
                <w:lang w:val="en-US" w:eastAsia="zh-CN"/>
              </w:rPr>
            </w:pPr>
          </w:p>
        </w:tc>
        <w:tc>
          <w:tcPr>
            <w:tcW w:w="900" w:type="dxa"/>
            <w:shd w:val="clear" w:color="auto" w:fill="auto"/>
            <w:vAlign w:val="center"/>
          </w:tcPr>
          <w:p w14:paraId="10884837">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其他类</w:t>
            </w:r>
          </w:p>
        </w:tc>
        <w:tc>
          <w:tcPr>
            <w:tcW w:w="1080" w:type="dxa"/>
            <w:shd w:val="clear" w:color="auto" w:fill="FFFFFF"/>
            <w:vAlign w:val="center"/>
          </w:tcPr>
          <w:p w14:paraId="08438B51">
            <w:pPr>
              <w:widowControl/>
              <w:wordWrap/>
              <w:adjustRightInd/>
              <w:snapToGrid/>
              <w:spacing w:line="240" w:lineRule="exact"/>
              <w:jc w:val="both"/>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放射源、进口装有放射性同位素仪表登记备案</w:t>
            </w:r>
          </w:p>
        </w:tc>
        <w:tc>
          <w:tcPr>
            <w:tcW w:w="1470" w:type="dxa"/>
            <w:shd w:val="clear" w:color="auto" w:fill="FFFFFF"/>
            <w:vAlign w:val="center"/>
          </w:tcPr>
          <w:p w14:paraId="6EA26045">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《中华人民共和国放射性污染防治法》第28条；</w:t>
            </w:r>
          </w:p>
          <w:p w14:paraId="25FC4AAB">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《放射性同位素与射线装置安全和防护条例》第21、24、25条；</w:t>
            </w:r>
          </w:p>
          <w:p w14:paraId="4BDF901D">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《省人民政府关于第一批取消下放管理层级转变管理方式的行政许可事项的决定》（省政府令第126号）</w:t>
            </w:r>
          </w:p>
        </w:tc>
        <w:tc>
          <w:tcPr>
            <w:tcW w:w="6066" w:type="dxa"/>
            <w:tcBorders>
              <w:left w:val="double" w:color="auto" w:sz="4" w:space="0"/>
            </w:tcBorders>
            <w:vAlign w:val="center"/>
          </w:tcPr>
          <w:p w14:paraId="772B4401">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1.受理责任：公示告知应当提交的材料；一次性告知补正材料；依法受理或不予受理（不予受理的告知理由）。</w:t>
            </w:r>
          </w:p>
          <w:p w14:paraId="03BCCCBB">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2.审查责任：对申请备案的材料进行审查。</w:t>
            </w:r>
          </w:p>
          <w:p w14:paraId="796CA567">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3.决定责任：</w:t>
            </w:r>
            <w:r>
              <w:rPr>
                <w:rFonts w:hint="eastAsia" w:ascii="宋体" w:hAnsi="宋体" w:eastAsia="宋体" w:cs="宋体"/>
                <w:color w:val="auto"/>
                <w:kern w:val="0"/>
                <w:sz w:val="18"/>
                <w:szCs w:val="18"/>
              </w:rPr>
              <w:t>在规定期限内</w:t>
            </w:r>
            <w:r>
              <w:rPr>
                <w:rFonts w:hint="eastAsia" w:ascii="宋体" w:hAnsi="宋体" w:cs="宋体"/>
                <w:color w:val="auto"/>
                <w:kern w:val="0"/>
                <w:sz w:val="18"/>
                <w:szCs w:val="18"/>
                <w:lang w:eastAsia="zh-CN"/>
              </w:rPr>
              <w:t>予以</w:t>
            </w:r>
            <w:r>
              <w:rPr>
                <w:rFonts w:hint="eastAsia" w:ascii="宋体" w:hAnsi="宋体" w:eastAsia="宋体" w:cs="宋体"/>
                <w:color w:val="auto"/>
                <w:kern w:val="0"/>
                <w:sz w:val="18"/>
                <w:szCs w:val="18"/>
              </w:rPr>
              <w:t>备案。</w:t>
            </w:r>
          </w:p>
          <w:p w14:paraId="7CA80BCE">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4.送达责任：在规定期限内制定并向申请人送达法律证件。</w:t>
            </w:r>
          </w:p>
          <w:p w14:paraId="699F22E3">
            <w:pPr>
              <w:widowControl/>
              <w:wordWrap/>
              <w:adjustRightInd/>
              <w:snapToGrid/>
              <w:spacing w:line="240" w:lineRule="exact"/>
              <w:jc w:val="lef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5.事后监督责任：开展定期和不定期监督检查。</w:t>
            </w:r>
          </w:p>
          <w:p w14:paraId="66E913A6">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6.其他法律法规规章文件规定应履行的责任。</w:t>
            </w:r>
          </w:p>
        </w:tc>
        <w:tc>
          <w:tcPr>
            <w:tcW w:w="1467" w:type="dxa"/>
            <w:vAlign w:val="center"/>
          </w:tcPr>
          <w:p w14:paraId="60C69BB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《放射性同位素与射线装置安全和防护条例》（国务院令第449号）</w:t>
            </w:r>
          </w:p>
          <w:p w14:paraId="29A6B83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《省人民政府关于第一批取消下放管理层级转变管理方式的行政许可事项的决定》（省政府令第126号）</w:t>
            </w:r>
          </w:p>
        </w:tc>
        <w:tc>
          <w:tcPr>
            <w:tcW w:w="1572" w:type="dxa"/>
            <w:vAlign w:val="center"/>
          </w:tcPr>
          <w:p w14:paraId="0612C2A9">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核与辐射安全监管处、乌江赤水河流域环境监管局、清水江都柳江流域环境监管局、南北盘江红水河流域环境监管局</w:t>
            </w:r>
          </w:p>
        </w:tc>
        <w:tc>
          <w:tcPr>
            <w:tcW w:w="1170" w:type="dxa"/>
            <w:vAlign w:val="center"/>
          </w:tcPr>
          <w:p w14:paraId="7E4AE987">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3B9CC478">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省政府法制办2015-1号公告事项</w:t>
            </w:r>
          </w:p>
        </w:tc>
      </w:tr>
      <w:tr w14:paraId="11C7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630" w:type="dxa"/>
            <w:shd w:val="clear" w:color="auto" w:fill="auto"/>
            <w:vAlign w:val="center"/>
          </w:tcPr>
          <w:p w14:paraId="587B50EB">
            <w:pPr>
              <w:numPr>
                <w:ilvl w:val="0"/>
                <w:numId w:val="1"/>
              </w:numPr>
              <w:spacing w:line="240" w:lineRule="exact"/>
              <w:ind w:left="425" w:leftChars="0" w:hanging="425" w:firstLineChars="0"/>
              <w:jc w:val="both"/>
              <w:rPr>
                <w:rFonts w:hint="eastAsia" w:ascii="黑体" w:hAnsi="黑体" w:eastAsia="黑体" w:cs="黑体"/>
                <w:b/>
                <w:bCs/>
                <w:color w:val="auto"/>
                <w:szCs w:val="21"/>
                <w:lang w:val="en-US" w:eastAsia="zh-CN"/>
              </w:rPr>
            </w:pPr>
          </w:p>
        </w:tc>
        <w:tc>
          <w:tcPr>
            <w:tcW w:w="900" w:type="dxa"/>
            <w:shd w:val="clear" w:color="auto" w:fill="auto"/>
            <w:vAlign w:val="center"/>
          </w:tcPr>
          <w:p w14:paraId="08C2F31C">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其他类</w:t>
            </w:r>
          </w:p>
        </w:tc>
        <w:tc>
          <w:tcPr>
            <w:tcW w:w="1080" w:type="dxa"/>
            <w:shd w:val="clear" w:color="auto" w:fill="FFFFFF"/>
            <w:vAlign w:val="center"/>
          </w:tcPr>
          <w:p w14:paraId="7A5CCFC4">
            <w:pPr>
              <w:widowControl/>
              <w:wordWrap/>
              <w:adjustRightInd/>
              <w:snapToGrid/>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清洁发展机制项目初审</w:t>
            </w:r>
          </w:p>
        </w:tc>
        <w:tc>
          <w:tcPr>
            <w:tcW w:w="1470" w:type="dxa"/>
            <w:shd w:val="clear" w:color="auto" w:fill="FFFFFF"/>
            <w:vAlign w:val="center"/>
          </w:tcPr>
          <w:p w14:paraId="71884D26">
            <w:pPr>
              <w:widowControl/>
              <w:wordWrap/>
              <w:adjustRightInd/>
              <w:snapToGrid/>
              <w:spacing w:line="240" w:lineRule="exac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《清洁发展机制项目运行管理办法（修订）》（国家发展改革委、科技部、外交部、财政部令2011年第11号）</w:t>
            </w:r>
          </w:p>
          <w:p w14:paraId="65177026">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bCs/>
                <w:color w:val="auto"/>
                <w:sz w:val="18"/>
                <w:szCs w:val="18"/>
              </w:rPr>
              <w:t>《省人民政府关于2012年度取消和调整行政许可项目的决定》（省政府令第138号）</w:t>
            </w:r>
          </w:p>
        </w:tc>
        <w:tc>
          <w:tcPr>
            <w:tcW w:w="6066" w:type="dxa"/>
            <w:tcBorders>
              <w:left w:val="double" w:color="auto" w:sz="4" w:space="0"/>
            </w:tcBorders>
            <w:vAlign w:val="center"/>
          </w:tcPr>
          <w:p w14:paraId="670658D3">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1.受理责任：公示法定应当提交的材料；一次性告知补正材料；依法受理或不予受理申请（不予受理应当告知理由）。</w:t>
            </w:r>
          </w:p>
          <w:p w14:paraId="6EC27E0E">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2.审查责任：对申请人提交的申请材料进行审查，提出审查意见。</w:t>
            </w:r>
          </w:p>
          <w:p w14:paraId="18FF2337">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3.决定责任：在规定期限内作出书面决定（不予同意应说明理由）。</w:t>
            </w:r>
          </w:p>
          <w:p w14:paraId="3A8AC6C6">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4.送达责任：在规定期限内转送相关材料。</w:t>
            </w:r>
          </w:p>
          <w:p w14:paraId="779A15AD">
            <w:pPr>
              <w:widowControl/>
              <w:wordWrap/>
              <w:adjustRightInd/>
              <w:snapToGrid/>
              <w:spacing w:line="24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5.事后监管责任：日常监督检查。</w:t>
            </w:r>
          </w:p>
          <w:p w14:paraId="29B07C4A">
            <w:pPr>
              <w:widowControl/>
              <w:wordWrap/>
              <w:adjustRightInd/>
              <w:snapToGrid/>
              <w:spacing w:line="240" w:lineRule="exact"/>
              <w:textAlignment w:val="auto"/>
              <w:rPr>
                <w:rFonts w:hint="eastAsia" w:ascii="宋体" w:hAnsi="宋体" w:eastAsia="宋体" w:cs="宋体"/>
                <w:bCs/>
                <w:color w:val="auto"/>
                <w:kern w:val="0"/>
                <w:sz w:val="18"/>
                <w:szCs w:val="18"/>
              </w:rPr>
            </w:pPr>
            <w:r>
              <w:rPr>
                <w:rFonts w:hint="eastAsia" w:ascii="宋体" w:hAnsi="宋体" w:eastAsia="宋体" w:cs="宋体"/>
                <w:color w:val="auto"/>
                <w:sz w:val="18"/>
                <w:szCs w:val="18"/>
              </w:rPr>
              <w:t>6.法律法规规章文件规定应履行的其他责任。</w:t>
            </w:r>
          </w:p>
        </w:tc>
        <w:tc>
          <w:tcPr>
            <w:tcW w:w="1467" w:type="dxa"/>
            <w:vAlign w:val="center"/>
          </w:tcPr>
          <w:p w14:paraId="77716CEF">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sz w:val="18"/>
                <w:szCs w:val="18"/>
              </w:rPr>
              <w:t>《清洁发展机制项目运行管理办法》第14、15、18条</w:t>
            </w:r>
          </w:p>
        </w:tc>
        <w:tc>
          <w:tcPr>
            <w:tcW w:w="1572" w:type="dxa"/>
            <w:vAlign w:val="center"/>
          </w:tcPr>
          <w:p w14:paraId="1021A8AE">
            <w:pPr>
              <w:widowControl/>
              <w:wordWrap/>
              <w:adjustRightInd/>
              <w:snapToGrid/>
              <w:spacing w:line="240" w:lineRule="exac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大气环境和应对气候变化处</w:t>
            </w:r>
          </w:p>
        </w:tc>
        <w:tc>
          <w:tcPr>
            <w:tcW w:w="1170" w:type="dxa"/>
            <w:vAlign w:val="center"/>
          </w:tcPr>
          <w:p w14:paraId="7016986E">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厅法定代表人及分管领导、内设机构负责人、 具体承办人</w:t>
            </w:r>
          </w:p>
        </w:tc>
        <w:tc>
          <w:tcPr>
            <w:tcW w:w="1110" w:type="dxa"/>
            <w:vAlign w:val="center"/>
          </w:tcPr>
          <w:p w14:paraId="3B4B1533">
            <w:pPr>
              <w:widowControl/>
              <w:wordWrap/>
              <w:adjustRightInd/>
              <w:snapToGrid/>
              <w:spacing w:line="24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sz w:val="18"/>
                <w:szCs w:val="18"/>
              </w:rPr>
              <w:t>省政府法制办2015-1号公告事项</w:t>
            </w:r>
          </w:p>
        </w:tc>
      </w:tr>
    </w:tbl>
    <w:p w14:paraId="28DEBCA9"/>
    <w:p w14:paraId="0450ABCB"/>
    <w:p w14:paraId="78322A5A"/>
    <w:sectPr>
      <w:footerReference r:id="rId3" w:type="default"/>
      <w:pgSz w:w="16838" w:h="11906" w:orient="landscape"/>
      <w:pgMar w:top="1803" w:right="1440" w:bottom="1803" w:left="1440"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476D2">
    <w:pPr>
      <w:pStyle w:val="3"/>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0CB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Quad Arrow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Ru4NtvQEAAJoDAAAOAAAAAAAAAAEAIAAAAB4BAABkcnMvZTJvRG9jLnhtbFBLBQYAAAAA&#10;BgAGAFkBAABNBQAAAAA=&#10;">
              <v:fill on="f" focussize="0,0"/>
              <v:stroke on="f"/>
              <v:imagedata o:title=""/>
              <o:lock v:ext="edit" aspectratio="f"/>
              <v:textbox inset="0mm,0mm,0mm,0mm" style="mso-fit-shape-to-text:t;">
                <w:txbxContent>
                  <w:p w14:paraId="6220CB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5091B"/>
    <w:multiLevelType w:val="singleLevel"/>
    <w:tmpl w:val="4A85091B"/>
    <w:lvl w:ilvl="0" w:tentative="0">
      <w:start w:val="1"/>
      <w:numFmt w:val="decimal"/>
      <w:lvlText w:val=" %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126AD"/>
    <w:rsid w:val="005004A2"/>
    <w:rsid w:val="005A63D7"/>
    <w:rsid w:val="006C0343"/>
    <w:rsid w:val="006C61C3"/>
    <w:rsid w:val="00A379DE"/>
    <w:rsid w:val="00A555EB"/>
    <w:rsid w:val="00C30ECE"/>
    <w:rsid w:val="00C644DD"/>
    <w:rsid w:val="00E66715"/>
    <w:rsid w:val="00F93409"/>
    <w:rsid w:val="01583832"/>
    <w:rsid w:val="01883711"/>
    <w:rsid w:val="02433E45"/>
    <w:rsid w:val="038534EA"/>
    <w:rsid w:val="039A564A"/>
    <w:rsid w:val="03D22E76"/>
    <w:rsid w:val="04402B7B"/>
    <w:rsid w:val="044A30E4"/>
    <w:rsid w:val="04542326"/>
    <w:rsid w:val="04633ABF"/>
    <w:rsid w:val="046F36CA"/>
    <w:rsid w:val="0670611D"/>
    <w:rsid w:val="084A63E3"/>
    <w:rsid w:val="084D349A"/>
    <w:rsid w:val="085D4644"/>
    <w:rsid w:val="08BB4345"/>
    <w:rsid w:val="09060939"/>
    <w:rsid w:val="09227486"/>
    <w:rsid w:val="097E175F"/>
    <w:rsid w:val="098576F2"/>
    <w:rsid w:val="09E047C0"/>
    <w:rsid w:val="0A5A3394"/>
    <w:rsid w:val="0AC9275C"/>
    <w:rsid w:val="0C932BE3"/>
    <w:rsid w:val="0DAB7CF9"/>
    <w:rsid w:val="0E017F52"/>
    <w:rsid w:val="0E2D3B6A"/>
    <w:rsid w:val="0E3137D5"/>
    <w:rsid w:val="0F022B71"/>
    <w:rsid w:val="0F1550CD"/>
    <w:rsid w:val="0F8C5859"/>
    <w:rsid w:val="0F8D1CC4"/>
    <w:rsid w:val="104A7DFE"/>
    <w:rsid w:val="11AF04C6"/>
    <w:rsid w:val="11FC3248"/>
    <w:rsid w:val="120C0AB8"/>
    <w:rsid w:val="123D07DF"/>
    <w:rsid w:val="124B1139"/>
    <w:rsid w:val="13C01DA7"/>
    <w:rsid w:val="145F73DC"/>
    <w:rsid w:val="14E32728"/>
    <w:rsid w:val="16745F63"/>
    <w:rsid w:val="17257747"/>
    <w:rsid w:val="174E73CD"/>
    <w:rsid w:val="17D5732B"/>
    <w:rsid w:val="17E33683"/>
    <w:rsid w:val="18E8179A"/>
    <w:rsid w:val="19FF3C0D"/>
    <w:rsid w:val="1A0538B4"/>
    <w:rsid w:val="1B080EE5"/>
    <w:rsid w:val="1B130F91"/>
    <w:rsid w:val="1B22243C"/>
    <w:rsid w:val="1BE30384"/>
    <w:rsid w:val="1C412F98"/>
    <w:rsid w:val="1C775C44"/>
    <w:rsid w:val="1CBD25DB"/>
    <w:rsid w:val="1CF14398"/>
    <w:rsid w:val="1E352351"/>
    <w:rsid w:val="1FFA32A0"/>
    <w:rsid w:val="2073221C"/>
    <w:rsid w:val="21397B3E"/>
    <w:rsid w:val="213C5773"/>
    <w:rsid w:val="21EE312E"/>
    <w:rsid w:val="22B573A3"/>
    <w:rsid w:val="230A091E"/>
    <w:rsid w:val="231F6ECE"/>
    <w:rsid w:val="236F5E31"/>
    <w:rsid w:val="242F1C1D"/>
    <w:rsid w:val="24477421"/>
    <w:rsid w:val="24745374"/>
    <w:rsid w:val="254E5FE5"/>
    <w:rsid w:val="26361ABD"/>
    <w:rsid w:val="26BE73FF"/>
    <w:rsid w:val="26CA739F"/>
    <w:rsid w:val="270B29B8"/>
    <w:rsid w:val="27355FE4"/>
    <w:rsid w:val="2766761B"/>
    <w:rsid w:val="27815DCC"/>
    <w:rsid w:val="28231BCB"/>
    <w:rsid w:val="28254BEB"/>
    <w:rsid w:val="285A736B"/>
    <w:rsid w:val="28700528"/>
    <w:rsid w:val="28AF6CF5"/>
    <w:rsid w:val="29DE1443"/>
    <w:rsid w:val="2AB87F1F"/>
    <w:rsid w:val="2ABF3641"/>
    <w:rsid w:val="2BAE66FE"/>
    <w:rsid w:val="2BBB344E"/>
    <w:rsid w:val="2D2E6D98"/>
    <w:rsid w:val="2E1E3FA7"/>
    <w:rsid w:val="2E9A2F6D"/>
    <w:rsid w:val="2EF624CD"/>
    <w:rsid w:val="2F0C123B"/>
    <w:rsid w:val="2F932D3F"/>
    <w:rsid w:val="2FA361EC"/>
    <w:rsid w:val="2FE10102"/>
    <w:rsid w:val="3106754E"/>
    <w:rsid w:val="31A80DCC"/>
    <w:rsid w:val="31C25802"/>
    <w:rsid w:val="31E54AFB"/>
    <w:rsid w:val="32CC28E8"/>
    <w:rsid w:val="32D52133"/>
    <w:rsid w:val="33463EAF"/>
    <w:rsid w:val="335B1A2D"/>
    <w:rsid w:val="345C6080"/>
    <w:rsid w:val="35341E54"/>
    <w:rsid w:val="3586235D"/>
    <w:rsid w:val="363162F3"/>
    <w:rsid w:val="36904695"/>
    <w:rsid w:val="381C70C2"/>
    <w:rsid w:val="39643EFE"/>
    <w:rsid w:val="399406F9"/>
    <w:rsid w:val="3A457284"/>
    <w:rsid w:val="3A6B1685"/>
    <w:rsid w:val="3A800513"/>
    <w:rsid w:val="3ABE1391"/>
    <w:rsid w:val="3AFE6173"/>
    <w:rsid w:val="3AFF08D7"/>
    <w:rsid w:val="3B5A1478"/>
    <w:rsid w:val="3B9C2B3D"/>
    <w:rsid w:val="3BE12925"/>
    <w:rsid w:val="3BEA49F5"/>
    <w:rsid w:val="3C823430"/>
    <w:rsid w:val="3C8F410B"/>
    <w:rsid w:val="3D1A2E16"/>
    <w:rsid w:val="3D704795"/>
    <w:rsid w:val="3DA126AD"/>
    <w:rsid w:val="3DD0590C"/>
    <w:rsid w:val="3F1A610F"/>
    <w:rsid w:val="404861E9"/>
    <w:rsid w:val="405F5EFB"/>
    <w:rsid w:val="413B46FB"/>
    <w:rsid w:val="421120F1"/>
    <w:rsid w:val="4282027C"/>
    <w:rsid w:val="434A5151"/>
    <w:rsid w:val="43697B90"/>
    <w:rsid w:val="459D780D"/>
    <w:rsid w:val="46755077"/>
    <w:rsid w:val="47121222"/>
    <w:rsid w:val="47515D8E"/>
    <w:rsid w:val="477F0BDD"/>
    <w:rsid w:val="48104EC7"/>
    <w:rsid w:val="48775B70"/>
    <w:rsid w:val="488B4404"/>
    <w:rsid w:val="48970FED"/>
    <w:rsid w:val="4976692F"/>
    <w:rsid w:val="49A17644"/>
    <w:rsid w:val="4A4E1859"/>
    <w:rsid w:val="4AFD3A5D"/>
    <w:rsid w:val="4B44280B"/>
    <w:rsid w:val="4C671669"/>
    <w:rsid w:val="4CC04756"/>
    <w:rsid w:val="4D1116BD"/>
    <w:rsid w:val="4D87681C"/>
    <w:rsid w:val="4DF92CF9"/>
    <w:rsid w:val="4FA00DF3"/>
    <w:rsid w:val="50236812"/>
    <w:rsid w:val="50D97C8C"/>
    <w:rsid w:val="50F850C6"/>
    <w:rsid w:val="512641A1"/>
    <w:rsid w:val="51CD7696"/>
    <w:rsid w:val="52666BA5"/>
    <w:rsid w:val="52A206C1"/>
    <w:rsid w:val="52A4182A"/>
    <w:rsid w:val="53062955"/>
    <w:rsid w:val="538D138F"/>
    <w:rsid w:val="53973E18"/>
    <w:rsid w:val="539F39B1"/>
    <w:rsid w:val="53BF72F1"/>
    <w:rsid w:val="541428FE"/>
    <w:rsid w:val="542417B3"/>
    <w:rsid w:val="550C2582"/>
    <w:rsid w:val="558B6B4F"/>
    <w:rsid w:val="559C1D94"/>
    <w:rsid w:val="58044A73"/>
    <w:rsid w:val="58801E3E"/>
    <w:rsid w:val="58AE7A56"/>
    <w:rsid w:val="59854F6F"/>
    <w:rsid w:val="5A812888"/>
    <w:rsid w:val="5B592E77"/>
    <w:rsid w:val="5B610E67"/>
    <w:rsid w:val="5BCB5EF3"/>
    <w:rsid w:val="5C672AA9"/>
    <w:rsid w:val="5C767D50"/>
    <w:rsid w:val="5CE5218F"/>
    <w:rsid w:val="5D1615A3"/>
    <w:rsid w:val="5D9F5134"/>
    <w:rsid w:val="5DF928CE"/>
    <w:rsid w:val="5E59549D"/>
    <w:rsid w:val="5E891984"/>
    <w:rsid w:val="5EBD1FDE"/>
    <w:rsid w:val="610B0B76"/>
    <w:rsid w:val="61C36BC6"/>
    <w:rsid w:val="634C5CEC"/>
    <w:rsid w:val="63773240"/>
    <w:rsid w:val="63C92636"/>
    <w:rsid w:val="63CE0D4C"/>
    <w:rsid w:val="650008C6"/>
    <w:rsid w:val="651D2255"/>
    <w:rsid w:val="65604B6F"/>
    <w:rsid w:val="65807C0C"/>
    <w:rsid w:val="65905B6D"/>
    <w:rsid w:val="667E6CB2"/>
    <w:rsid w:val="673063F8"/>
    <w:rsid w:val="674B0C82"/>
    <w:rsid w:val="68490000"/>
    <w:rsid w:val="6868145A"/>
    <w:rsid w:val="698A25EF"/>
    <w:rsid w:val="69B013F1"/>
    <w:rsid w:val="69C80E34"/>
    <w:rsid w:val="6AA047A1"/>
    <w:rsid w:val="6AD3024F"/>
    <w:rsid w:val="6B6752A6"/>
    <w:rsid w:val="6BC62A35"/>
    <w:rsid w:val="6C0E154A"/>
    <w:rsid w:val="6C7F3C23"/>
    <w:rsid w:val="6D1C666C"/>
    <w:rsid w:val="6D8640DF"/>
    <w:rsid w:val="6DAD5DC3"/>
    <w:rsid w:val="6DFD30D8"/>
    <w:rsid w:val="6E345F81"/>
    <w:rsid w:val="6EA42DC3"/>
    <w:rsid w:val="6EBB3888"/>
    <w:rsid w:val="6EEE7D1C"/>
    <w:rsid w:val="70060EF3"/>
    <w:rsid w:val="709C13F1"/>
    <w:rsid w:val="70D8237C"/>
    <w:rsid w:val="717164D9"/>
    <w:rsid w:val="71C3572E"/>
    <w:rsid w:val="71DC5D3E"/>
    <w:rsid w:val="71FF7992"/>
    <w:rsid w:val="72BD1054"/>
    <w:rsid w:val="72D54648"/>
    <w:rsid w:val="72F56656"/>
    <w:rsid w:val="744161E5"/>
    <w:rsid w:val="74C95716"/>
    <w:rsid w:val="74FB18F9"/>
    <w:rsid w:val="751843BD"/>
    <w:rsid w:val="75441AAD"/>
    <w:rsid w:val="76A21E24"/>
    <w:rsid w:val="76A33755"/>
    <w:rsid w:val="779724CC"/>
    <w:rsid w:val="78974099"/>
    <w:rsid w:val="79493439"/>
    <w:rsid w:val="795006B6"/>
    <w:rsid w:val="795B5EF1"/>
    <w:rsid w:val="79734FBD"/>
    <w:rsid w:val="79CE545E"/>
    <w:rsid w:val="7A4675D0"/>
    <w:rsid w:val="7A5F5A01"/>
    <w:rsid w:val="7B9656D3"/>
    <w:rsid w:val="7BB425A2"/>
    <w:rsid w:val="7C67104E"/>
    <w:rsid w:val="7C852A4F"/>
    <w:rsid w:val="7D240F5F"/>
    <w:rsid w:val="7D2D792D"/>
    <w:rsid w:val="7D4B5A3B"/>
    <w:rsid w:val="7DA46349"/>
    <w:rsid w:val="7DC120B2"/>
    <w:rsid w:val="7EF91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left"/>
      <w:outlineLvl w:val="0"/>
    </w:pPr>
    <w:rPr>
      <w:rFonts w:hint="eastAsia" w:ascii="宋体" w:hAnsi="宋体"/>
      <w:kern w:val="44"/>
      <w:sz w:val="24"/>
      <w:szCs w:val="2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index 7"/>
    <w:basedOn w:val="1"/>
    <w:next w:val="1"/>
    <w:qFormat/>
    <w:uiPriority w:val="0"/>
    <w:pPr>
      <w:ind w:left="2520"/>
    </w:pPr>
    <w:rPr>
      <w:rFonts w:ascii="宋体"/>
      <w:sz w:val="18"/>
      <w:szCs w:val="18"/>
    </w:rPr>
  </w:style>
  <w:style w:type="paragraph" w:styleId="6">
    <w:name w:val="HTML Preformatted"/>
    <w:basedOn w:val="1"/>
    <w:unhideWhenUsed/>
    <w:qFormat/>
    <w:uiPriority w:val="99"/>
    <w:rPr>
      <w:rFonts w:ascii="Courier New" w:hAnsi="Courier New" w:cs="Courier New"/>
      <w:sz w:val="20"/>
    </w:rPr>
  </w:style>
  <w:style w:type="paragraph" w:styleId="7">
    <w:name w:val="Normal (Web)"/>
    <w:basedOn w:val="1"/>
    <w:next w:val="5"/>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0">
    <w:name w:val="Strong"/>
    <w:qFormat/>
    <w:uiPriority w:val="0"/>
    <w:rPr>
      <w:b/>
    </w:rPr>
  </w:style>
  <w:style w:type="character" w:styleId="11">
    <w:name w:val="FollowedHyperlink"/>
    <w:basedOn w:val="9"/>
    <w:qFormat/>
    <w:uiPriority w:val="0"/>
    <w:rPr>
      <w:color w:val="800080"/>
      <w:u w:val="single"/>
    </w:rPr>
  </w:style>
  <w:style w:type="paragraph" w:customStyle="1" w:styleId="12">
    <w:name w:val="p0"/>
    <w:basedOn w:val="1"/>
    <w:qFormat/>
    <w:uiPriority w:val="0"/>
    <w:pPr>
      <w:widowControl/>
    </w:pPr>
    <w:rPr>
      <w:rFonts w:ascii="Calibri" w:hAnsi="Calibri" w:cs="Calibri"/>
      <w:kern w:val="0"/>
      <w:szCs w:val="21"/>
    </w:rPr>
  </w:style>
  <w:style w:type="paragraph" w:customStyle="1" w:styleId="13">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
    <w:name w:val="p16"/>
    <w:basedOn w:val="1"/>
    <w:qFormat/>
    <w:uiPriority w:val="0"/>
    <w:pPr>
      <w:widowControl/>
      <w:ind w:firstLine="420"/>
    </w:pPr>
    <w:rPr>
      <w:rFonts w:ascii="Calibri" w:hAnsi="Calibri" w:cs="宋体"/>
      <w:kern w:val="0"/>
      <w:szCs w:val="21"/>
    </w:rPr>
  </w:style>
  <w:style w:type="paragraph" w:customStyle="1" w:styleId="16">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17">
    <w:name w:val="页眉 Char"/>
    <w:basedOn w:val="9"/>
    <w:link w:val="4"/>
    <w:qFormat/>
    <w:uiPriority w:val="0"/>
    <w:rPr>
      <w:kern w:val="2"/>
      <w:sz w:val="18"/>
      <w:szCs w:val="18"/>
    </w:rPr>
  </w:style>
  <w:style w:type="character" w:customStyle="1" w:styleId="18">
    <w:name w:val="font31"/>
    <w:basedOn w:val="9"/>
    <w:qFormat/>
    <w:uiPriority w:val="0"/>
    <w:rPr>
      <w:rFonts w:hint="eastAsia" w:ascii="宋体" w:hAnsi="宋体" w:eastAsia="宋体"/>
      <w:b/>
      <w:bCs/>
      <w:color w:val="000000"/>
      <w:sz w:val="18"/>
      <w:szCs w:val="18"/>
      <w:u w:val="none"/>
    </w:rPr>
  </w:style>
  <w:style w:type="character" w:customStyle="1" w:styleId="19">
    <w:name w:val="font61"/>
    <w:basedOn w:val="9"/>
    <w:qFormat/>
    <w:uiPriority w:val="0"/>
    <w:rPr>
      <w:rFonts w:hint="eastAsia" w:ascii="宋体" w:hAnsi="宋体" w:eastAsia="宋体"/>
      <w:color w:val="000000"/>
      <w:sz w:val="20"/>
      <w:szCs w:val="20"/>
      <w:u w:val="none"/>
    </w:rPr>
  </w:style>
  <w:style w:type="character" w:customStyle="1" w:styleId="20">
    <w:name w:val="font01"/>
    <w:basedOn w:val="9"/>
    <w:qFormat/>
    <w:uiPriority w:val="0"/>
    <w:rPr>
      <w:rFonts w:ascii="宋体" w:eastAsia="宋体" w:cs="宋体"/>
      <w:color w:val="000000"/>
      <w:sz w:val="18"/>
      <w:szCs w:val="18"/>
      <w:u w:val="none"/>
      <w:lang w:bidi="ar-SA"/>
    </w:rPr>
  </w:style>
  <w:style w:type="character" w:customStyle="1" w:styleId="21">
    <w:name w:val="font51"/>
    <w:basedOn w:val="9"/>
    <w:qFormat/>
    <w:uiPriority w:val="0"/>
    <w:rPr>
      <w:rFonts w:hint="eastAsia" w:ascii="宋体" w:hAnsi="宋体" w:eastAsia="宋体" w:cs="宋体"/>
      <w:color w:val="000000"/>
      <w:sz w:val="20"/>
      <w:szCs w:val="20"/>
      <w:u w:val="none"/>
    </w:rPr>
  </w:style>
  <w:style w:type="character" w:customStyle="1" w:styleId="22">
    <w:name w:val="font41"/>
    <w:basedOn w:val="9"/>
    <w:qFormat/>
    <w:uiPriority w:val="0"/>
    <w:rPr>
      <w:rFonts w:hint="eastAsia" w:ascii="宋体" w:hAnsi="宋体" w:eastAsia="宋体" w:cs="宋体"/>
      <w:color w:val="FF0000"/>
      <w:sz w:val="16"/>
      <w:szCs w:val="16"/>
      <w:u w:val="none"/>
    </w:rPr>
  </w:style>
  <w:style w:type="character" w:customStyle="1" w:styleId="23">
    <w:name w:val="font101"/>
    <w:basedOn w:val="9"/>
    <w:qFormat/>
    <w:uiPriority w:val="0"/>
    <w:rPr>
      <w:rFonts w:hint="eastAsia" w:ascii="宋体" w:hAnsi="宋体" w:eastAsia="宋体" w:cs="宋体"/>
      <w:color w:val="000000"/>
      <w:sz w:val="16"/>
      <w:szCs w:val="16"/>
      <w:u w:val="none"/>
    </w:rPr>
  </w:style>
  <w:style w:type="character" w:customStyle="1" w:styleId="24">
    <w:name w:val="font81"/>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26169</Words>
  <Characters>27086</Characters>
  <Lines>110</Lines>
  <Paragraphs>31</Paragraphs>
  <TotalTime>9</TotalTime>
  <ScaleCrop>false</ScaleCrop>
  <LinksUpToDate>false</LinksUpToDate>
  <CharactersWithSpaces>27922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2019-01-10T03:59:00Z</dcterms:created>
  <dc:creator>Administrator</dc:creator>
  <cp:lastModifiedBy>何以笙萧默</cp:lastModifiedBy>
  <cp:lastPrinted>2019-05-29T01:15:00Z</cp:lastPrinted>
  <dcterms:modified xsi:type="dcterms:W3CDTF">2025-09-26T02:56:40Z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eyJoZGlkIjoiZTVjMGMyZDIyYmEyYWNlOTUwMTA0ODYyZjNhZmVjMTUiLCJ1c2VySWQiOiIyNzUzNzg5NjAifQ==</vt:lpwstr>
  </property>
  <property fmtid="{D5CDD505-2E9C-101B-9397-08002B2CF9AE}" pid="4" name="ICV">
    <vt:lpwstr>CE6EE8FA12CF46F384F8582F04EF4DB0_12</vt:lpwstr>
  </property>
</Properties>
</file>