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60" w:lineRule="exact"/>
        <w:rPr>
          <w:rFonts w:hint="eastAsia" w:ascii="方正小标宋简体" w:eastAsia="方正小标宋简体" w:cs="方正小标宋简体"/>
          <w:color w:val="000000"/>
          <w:sz w:val="44"/>
          <w:szCs w:val="44"/>
        </w:rPr>
      </w:pPr>
    </w:p>
    <w:p>
      <w:pPr>
        <w:adjustRightInd w:val="0"/>
        <w:snapToGrid w:val="0"/>
        <w:spacing w:before="156" w:beforeLines="50" w:after="156" w:afterLines="50" w:line="0" w:lineRule="atLeast"/>
        <w:jc w:val="center"/>
        <w:rPr>
          <w:rFonts w:hint="eastAsia" w:ascii="方正小标宋简体" w:eastAsia="方正小标宋简体" w:cs="方正小标宋简体"/>
          <w:color w:val="000000"/>
          <w:sz w:val="44"/>
          <w:szCs w:val="44"/>
        </w:rPr>
      </w:pPr>
      <w:r>
        <w:rPr>
          <w:rFonts w:hint="eastAsia" w:ascii="方正小标宋简体" w:eastAsia="方正小标宋简体" w:cs="方正小标宋简体"/>
          <w:color w:val="000000"/>
          <w:sz w:val="44"/>
          <w:szCs w:val="44"/>
          <w:lang w:val="en-US" w:eastAsia="zh-CN"/>
        </w:rPr>
        <w:t>贵州省</w:t>
      </w:r>
      <w:r>
        <w:rPr>
          <w:rFonts w:hint="eastAsia" w:ascii="方正小标宋简体" w:eastAsia="方正小标宋简体" w:cs="方正小标宋简体"/>
          <w:color w:val="000000"/>
          <w:sz w:val="44"/>
          <w:szCs w:val="44"/>
        </w:rPr>
        <w:t>农村环境整治资金转移支付</w:t>
      </w:r>
    </w:p>
    <w:p>
      <w:pPr>
        <w:adjustRightInd w:val="0"/>
        <w:snapToGrid w:val="0"/>
        <w:spacing w:before="156" w:beforeLines="50" w:after="156" w:afterLines="50" w:line="0" w:lineRule="atLeast"/>
        <w:jc w:val="center"/>
        <w:rPr>
          <w:rFonts w:ascii="方正小标宋简体" w:eastAsia="方正小标宋简体" w:cs="方正小标宋简体"/>
          <w:color w:val="000000"/>
          <w:sz w:val="44"/>
          <w:szCs w:val="44"/>
        </w:rPr>
      </w:pPr>
      <w:r>
        <w:rPr>
          <w:rFonts w:hint="eastAsia" w:ascii="方正小标宋简体" w:eastAsia="方正小标宋简体" w:cs="方正小标宋简体"/>
          <w:color w:val="000000"/>
          <w:sz w:val="44"/>
          <w:szCs w:val="44"/>
        </w:rPr>
        <w:t>202</w:t>
      </w:r>
      <w:r>
        <w:rPr>
          <w:rFonts w:hint="eastAsia" w:ascii="方正小标宋简体" w:eastAsia="方正小标宋简体" w:cs="方正小标宋简体"/>
          <w:color w:val="000000"/>
          <w:sz w:val="44"/>
          <w:szCs w:val="44"/>
          <w:lang w:val="en-US" w:eastAsia="zh-CN"/>
        </w:rPr>
        <w:t>4</w:t>
      </w:r>
      <w:r>
        <w:rPr>
          <w:rFonts w:hint="eastAsia" w:ascii="方正小标宋简体" w:eastAsia="方正小标宋简体" w:cs="方正小标宋简体"/>
          <w:color w:val="000000"/>
          <w:sz w:val="44"/>
          <w:szCs w:val="44"/>
        </w:rPr>
        <w:t>年度绩效</w:t>
      </w:r>
      <w:r>
        <w:rPr>
          <w:rFonts w:ascii="方正小标宋简体" w:eastAsia="方正小标宋简体" w:cs="方正小标宋简体"/>
          <w:color w:val="000000"/>
          <w:sz w:val="44"/>
          <w:szCs w:val="44"/>
        </w:rPr>
        <w:t>自评报告</w:t>
      </w:r>
    </w:p>
    <w:p>
      <w:pPr>
        <w:pStyle w:val="2"/>
        <w:spacing w:before="0" w:after="0" w:line="560" w:lineRule="exact"/>
        <w:ind w:firstLine="640" w:firstLineChars="200"/>
        <w:jc w:val="both"/>
        <w:rPr>
          <w:rFonts w:ascii="黑体" w:eastAsia="黑体"/>
          <w:b w:val="0"/>
          <w:color w:val="000000"/>
          <w:sz w:val="32"/>
          <w:szCs w:val="32"/>
        </w:rPr>
      </w:pPr>
    </w:p>
    <w:p>
      <w:pPr>
        <w:pStyle w:val="2"/>
        <w:spacing w:before="0" w:after="0" w:line="560" w:lineRule="exact"/>
        <w:ind w:firstLine="640" w:firstLineChars="200"/>
        <w:jc w:val="both"/>
        <w:rPr>
          <w:rFonts w:ascii="黑体" w:eastAsia="黑体"/>
          <w:b w:val="0"/>
          <w:color w:val="000000"/>
          <w:sz w:val="32"/>
          <w:szCs w:val="32"/>
        </w:rPr>
      </w:pPr>
      <w:r>
        <w:rPr>
          <w:rFonts w:ascii="黑体" w:eastAsia="黑体"/>
          <w:b w:val="0"/>
          <w:color w:val="000000"/>
          <w:sz w:val="32"/>
          <w:szCs w:val="32"/>
        </w:rPr>
        <w:t>一、</w:t>
      </w:r>
      <w:r>
        <w:rPr>
          <w:rFonts w:hint="eastAsia" w:ascii="黑体" w:eastAsia="黑体"/>
          <w:b w:val="0"/>
          <w:color w:val="000000"/>
          <w:sz w:val="32"/>
          <w:szCs w:val="32"/>
        </w:rPr>
        <w:t>绩效目标分解下达情况</w:t>
      </w:r>
    </w:p>
    <w:p>
      <w:pPr>
        <w:pStyle w:val="3"/>
        <w:spacing w:before="0" w:after="0" w:line="560" w:lineRule="exact"/>
        <w:ind w:firstLine="640" w:firstLineChars="200"/>
        <w:rPr>
          <w:rFonts w:ascii="Times New Roman" w:hAnsi="Times New Roman" w:eastAsia="楷体_GB2312"/>
          <w:b w:val="0"/>
          <w:color w:val="000000"/>
        </w:rPr>
      </w:pPr>
      <w:r>
        <w:rPr>
          <w:rFonts w:hint="eastAsia" w:ascii="Times New Roman" w:hAnsi="Times New Roman" w:eastAsia="楷体_GB2312"/>
          <w:b w:val="0"/>
          <w:color w:val="000000"/>
        </w:rPr>
        <w:t>（一）中央下达农村环境整治资金转移支付预算和区域绩效目标情况</w:t>
      </w:r>
    </w:p>
    <w:p>
      <w:pPr>
        <w:widowControl/>
        <w:adjustRightInd w:val="0"/>
        <w:snapToGrid w:val="0"/>
        <w:spacing w:line="560" w:lineRule="exact"/>
        <w:ind w:firstLine="640" w:firstLineChars="200"/>
        <w:rPr>
          <w:rFonts w:ascii="仿宋_GB2312" w:eastAsia="仿宋_GB2312" w:cs="Times New Roman"/>
          <w:color w:val="000000"/>
          <w:kern w:val="0"/>
          <w:sz w:val="32"/>
          <w:szCs w:val="32"/>
          <w:highlight w:val="none"/>
        </w:rPr>
      </w:pPr>
      <w:r>
        <w:rPr>
          <w:rFonts w:hint="eastAsia" w:ascii="仿宋_GB2312" w:eastAsia="仿宋_GB2312" w:cs="Times New Roman"/>
          <w:color w:val="000000"/>
          <w:kern w:val="0"/>
          <w:sz w:val="32"/>
          <w:szCs w:val="32"/>
          <w:highlight w:val="none"/>
        </w:rPr>
        <w:t>根据《财政部关于</w:t>
      </w:r>
      <w:r>
        <w:rPr>
          <w:rFonts w:hint="eastAsia" w:ascii="仿宋_GB2312" w:eastAsia="仿宋_GB2312" w:cs="Times New Roman"/>
          <w:color w:val="000000"/>
          <w:kern w:val="0"/>
          <w:sz w:val="32"/>
          <w:szCs w:val="32"/>
          <w:highlight w:val="none"/>
          <w:lang w:val="en-US" w:eastAsia="zh-CN"/>
        </w:rPr>
        <w:t>提前</w:t>
      </w:r>
      <w:r>
        <w:rPr>
          <w:rFonts w:hint="eastAsia" w:ascii="仿宋_GB2312" w:eastAsia="仿宋_GB2312" w:cs="Times New Roman"/>
          <w:color w:val="000000"/>
          <w:kern w:val="0"/>
          <w:sz w:val="32"/>
          <w:szCs w:val="32"/>
          <w:highlight w:val="none"/>
        </w:rPr>
        <w:t>下达202</w:t>
      </w:r>
      <w:r>
        <w:rPr>
          <w:rFonts w:hint="eastAsia" w:ascii="仿宋_GB2312" w:eastAsia="仿宋_GB2312" w:cs="Times New Roman"/>
          <w:color w:val="000000"/>
          <w:kern w:val="0"/>
          <w:sz w:val="32"/>
          <w:szCs w:val="32"/>
          <w:highlight w:val="none"/>
          <w:lang w:val="en-US" w:eastAsia="zh-CN"/>
        </w:rPr>
        <w:t>4</w:t>
      </w:r>
      <w:r>
        <w:rPr>
          <w:rFonts w:hint="eastAsia" w:ascii="仿宋_GB2312" w:eastAsia="仿宋_GB2312" w:cs="Times New Roman"/>
          <w:color w:val="000000"/>
          <w:kern w:val="0"/>
          <w:sz w:val="32"/>
          <w:szCs w:val="32"/>
          <w:highlight w:val="none"/>
        </w:rPr>
        <w:t>年</w:t>
      </w:r>
      <w:r>
        <w:rPr>
          <w:rFonts w:hint="eastAsia" w:ascii="仿宋_GB2312" w:eastAsia="仿宋_GB2312" w:cs="Times New Roman"/>
          <w:color w:val="000000"/>
          <w:kern w:val="0"/>
          <w:sz w:val="32"/>
          <w:szCs w:val="32"/>
          <w:highlight w:val="none"/>
          <w:lang w:val="en-US" w:eastAsia="zh-CN"/>
        </w:rPr>
        <w:t>度农村环境整治资金</w:t>
      </w:r>
      <w:r>
        <w:rPr>
          <w:rFonts w:hint="eastAsia" w:ascii="仿宋_GB2312" w:eastAsia="仿宋_GB2312" w:cs="Times New Roman"/>
          <w:color w:val="000000"/>
          <w:kern w:val="0"/>
          <w:sz w:val="32"/>
          <w:szCs w:val="32"/>
          <w:highlight w:val="none"/>
        </w:rPr>
        <w:t>预算的通知》（财资环〔202</w:t>
      </w:r>
      <w:r>
        <w:rPr>
          <w:rFonts w:hint="eastAsia" w:ascii="仿宋_GB2312" w:eastAsia="仿宋_GB2312" w:cs="Times New Roman"/>
          <w:color w:val="000000"/>
          <w:kern w:val="0"/>
          <w:sz w:val="32"/>
          <w:szCs w:val="32"/>
          <w:highlight w:val="none"/>
          <w:lang w:val="en-US" w:eastAsia="zh-CN"/>
        </w:rPr>
        <w:t>3</w:t>
      </w:r>
      <w:r>
        <w:rPr>
          <w:rFonts w:hint="eastAsia" w:ascii="仿宋_GB2312" w:eastAsia="仿宋_GB2312" w:cs="Times New Roman"/>
          <w:color w:val="000000"/>
          <w:kern w:val="0"/>
          <w:sz w:val="32"/>
          <w:szCs w:val="32"/>
          <w:highlight w:val="none"/>
        </w:rPr>
        <w:t>〕</w:t>
      </w:r>
      <w:r>
        <w:rPr>
          <w:rFonts w:hint="eastAsia" w:ascii="仿宋_GB2312" w:eastAsia="仿宋_GB2312" w:cs="Times New Roman"/>
          <w:color w:val="000000"/>
          <w:kern w:val="0"/>
          <w:sz w:val="32"/>
          <w:szCs w:val="32"/>
          <w:highlight w:val="none"/>
          <w:lang w:val="en-US" w:eastAsia="zh-CN"/>
        </w:rPr>
        <w:t>114</w:t>
      </w:r>
      <w:r>
        <w:rPr>
          <w:rFonts w:hint="eastAsia" w:ascii="仿宋_GB2312" w:eastAsia="仿宋_GB2312" w:cs="Times New Roman"/>
          <w:color w:val="000000"/>
          <w:kern w:val="0"/>
          <w:sz w:val="32"/>
          <w:szCs w:val="32"/>
          <w:highlight w:val="none"/>
        </w:rPr>
        <w:t>号）</w:t>
      </w:r>
      <w:r>
        <w:rPr>
          <w:rFonts w:hint="eastAsia" w:ascii="仿宋_GB2312" w:eastAsia="仿宋_GB2312" w:cs="Times New Roman"/>
          <w:color w:val="000000"/>
          <w:kern w:val="0"/>
          <w:sz w:val="32"/>
          <w:szCs w:val="32"/>
          <w:highlight w:val="none"/>
          <w:lang w:eastAsia="zh-CN"/>
        </w:rPr>
        <w:t>，</w:t>
      </w:r>
      <w:r>
        <w:rPr>
          <w:rFonts w:hint="eastAsia" w:ascii="仿宋_GB2312" w:eastAsia="仿宋_GB2312" w:cs="Times New Roman"/>
          <w:color w:val="000000"/>
          <w:kern w:val="0"/>
          <w:sz w:val="32"/>
          <w:szCs w:val="32"/>
          <w:highlight w:val="none"/>
        </w:rPr>
        <w:t>《财政部关于下达202</w:t>
      </w:r>
      <w:r>
        <w:rPr>
          <w:rFonts w:hint="eastAsia" w:ascii="仿宋_GB2312" w:eastAsia="仿宋_GB2312" w:cs="Times New Roman"/>
          <w:color w:val="000000"/>
          <w:kern w:val="0"/>
          <w:sz w:val="32"/>
          <w:szCs w:val="32"/>
          <w:highlight w:val="none"/>
          <w:lang w:val="en-US" w:eastAsia="zh-CN"/>
        </w:rPr>
        <w:t>4</w:t>
      </w:r>
      <w:r>
        <w:rPr>
          <w:rFonts w:hint="eastAsia" w:ascii="仿宋_GB2312" w:eastAsia="仿宋_GB2312" w:cs="Times New Roman"/>
          <w:color w:val="000000"/>
          <w:kern w:val="0"/>
          <w:sz w:val="32"/>
          <w:szCs w:val="32"/>
          <w:highlight w:val="none"/>
        </w:rPr>
        <w:t>年</w:t>
      </w:r>
      <w:r>
        <w:rPr>
          <w:rFonts w:hint="eastAsia" w:ascii="仿宋_GB2312" w:eastAsia="仿宋_GB2312" w:cs="Times New Roman"/>
          <w:color w:val="000000"/>
          <w:kern w:val="0"/>
          <w:sz w:val="32"/>
          <w:szCs w:val="32"/>
          <w:highlight w:val="none"/>
          <w:lang w:val="en-US" w:eastAsia="zh-CN"/>
        </w:rPr>
        <w:t>农村环境整治资金（第二批）</w:t>
      </w:r>
      <w:r>
        <w:rPr>
          <w:rFonts w:hint="eastAsia" w:ascii="仿宋_GB2312" w:eastAsia="仿宋_GB2312" w:cs="Times New Roman"/>
          <w:color w:val="000000"/>
          <w:kern w:val="0"/>
          <w:sz w:val="32"/>
          <w:szCs w:val="32"/>
          <w:highlight w:val="none"/>
        </w:rPr>
        <w:t>预算的通知》（财资环〔202</w:t>
      </w:r>
      <w:r>
        <w:rPr>
          <w:rFonts w:hint="eastAsia" w:ascii="仿宋_GB2312" w:eastAsia="仿宋_GB2312" w:cs="Times New Roman"/>
          <w:color w:val="000000"/>
          <w:kern w:val="0"/>
          <w:sz w:val="32"/>
          <w:szCs w:val="32"/>
          <w:highlight w:val="none"/>
          <w:lang w:val="en-US" w:eastAsia="zh-CN"/>
        </w:rPr>
        <w:t>4</w:t>
      </w:r>
      <w:r>
        <w:rPr>
          <w:rFonts w:hint="eastAsia" w:ascii="仿宋_GB2312" w:eastAsia="仿宋_GB2312" w:cs="Times New Roman"/>
          <w:color w:val="000000"/>
          <w:kern w:val="0"/>
          <w:sz w:val="32"/>
          <w:szCs w:val="32"/>
          <w:highlight w:val="none"/>
        </w:rPr>
        <w:t>〕</w:t>
      </w:r>
      <w:r>
        <w:rPr>
          <w:rFonts w:hint="eastAsia" w:ascii="仿宋_GB2312" w:eastAsia="仿宋_GB2312" w:cs="Times New Roman"/>
          <w:color w:val="000000"/>
          <w:kern w:val="0"/>
          <w:sz w:val="32"/>
          <w:szCs w:val="32"/>
          <w:highlight w:val="none"/>
          <w:lang w:val="en-US" w:eastAsia="zh-CN"/>
        </w:rPr>
        <w:t>64</w:t>
      </w:r>
      <w:r>
        <w:rPr>
          <w:rFonts w:hint="eastAsia" w:ascii="仿宋_GB2312" w:eastAsia="仿宋_GB2312" w:cs="Times New Roman"/>
          <w:color w:val="000000"/>
          <w:kern w:val="0"/>
          <w:sz w:val="32"/>
          <w:szCs w:val="32"/>
          <w:highlight w:val="none"/>
        </w:rPr>
        <w:t>号），中央下达贵州省202</w:t>
      </w:r>
      <w:r>
        <w:rPr>
          <w:rFonts w:hint="eastAsia" w:ascii="仿宋_GB2312" w:eastAsia="仿宋_GB2312" w:cs="Times New Roman"/>
          <w:color w:val="000000"/>
          <w:kern w:val="0"/>
          <w:sz w:val="32"/>
          <w:szCs w:val="32"/>
          <w:highlight w:val="none"/>
          <w:lang w:val="en-US" w:eastAsia="zh-CN"/>
        </w:rPr>
        <w:t>4</w:t>
      </w:r>
      <w:r>
        <w:rPr>
          <w:rFonts w:hint="eastAsia" w:ascii="仿宋_GB2312" w:eastAsia="仿宋_GB2312" w:cs="Times New Roman"/>
          <w:color w:val="000000"/>
          <w:kern w:val="0"/>
          <w:sz w:val="32"/>
          <w:szCs w:val="32"/>
          <w:highlight w:val="none"/>
        </w:rPr>
        <w:t>年</w:t>
      </w:r>
      <w:r>
        <w:rPr>
          <w:rFonts w:hint="eastAsia" w:ascii="仿宋_GB2312" w:eastAsia="仿宋_GB2312" w:cs="Times New Roman"/>
          <w:color w:val="000000"/>
          <w:kern w:val="0"/>
          <w:sz w:val="32"/>
          <w:szCs w:val="32"/>
          <w:highlight w:val="none"/>
          <w:lang w:val="en-US" w:eastAsia="zh-CN"/>
        </w:rPr>
        <w:t>农村环境整治</w:t>
      </w:r>
      <w:r>
        <w:rPr>
          <w:rFonts w:hint="eastAsia" w:ascii="仿宋_GB2312" w:eastAsia="仿宋_GB2312" w:cs="Times New Roman"/>
          <w:color w:val="000000"/>
          <w:kern w:val="0"/>
          <w:sz w:val="32"/>
          <w:szCs w:val="32"/>
          <w:highlight w:val="none"/>
        </w:rPr>
        <w:t>转移支付资金</w:t>
      </w:r>
      <w:r>
        <w:rPr>
          <w:rFonts w:hint="eastAsia" w:ascii="仿宋_GB2312" w:eastAsia="仿宋_GB2312" w:cs="Times New Roman"/>
          <w:color w:val="000000"/>
          <w:kern w:val="0"/>
          <w:sz w:val="32"/>
          <w:szCs w:val="32"/>
          <w:highlight w:val="none"/>
          <w:lang w:val="en-US" w:eastAsia="zh-CN"/>
        </w:rPr>
        <w:t>4392</w:t>
      </w:r>
      <w:r>
        <w:rPr>
          <w:rFonts w:hint="eastAsia" w:ascii="仿宋_GB2312" w:eastAsia="仿宋_GB2312" w:cs="Times New Roman"/>
          <w:color w:val="000000"/>
          <w:kern w:val="0"/>
          <w:sz w:val="32"/>
          <w:szCs w:val="32"/>
          <w:highlight w:val="none"/>
        </w:rPr>
        <w:t>万元，并同步下达2</w:t>
      </w:r>
      <w:r>
        <w:rPr>
          <w:rFonts w:ascii="仿宋_GB2312" w:eastAsia="仿宋_GB2312" w:cs="Times New Roman"/>
          <w:color w:val="000000"/>
          <w:kern w:val="0"/>
          <w:sz w:val="32"/>
          <w:szCs w:val="32"/>
          <w:highlight w:val="none"/>
        </w:rPr>
        <w:t>02</w:t>
      </w:r>
      <w:r>
        <w:rPr>
          <w:rFonts w:hint="eastAsia" w:ascii="仿宋_GB2312" w:eastAsia="仿宋_GB2312" w:cs="Times New Roman"/>
          <w:color w:val="000000"/>
          <w:kern w:val="0"/>
          <w:sz w:val="32"/>
          <w:szCs w:val="32"/>
          <w:highlight w:val="none"/>
          <w:lang w:val="en-US" w:eastAsia="zh-CN"/>
        </w:rPr>
        <w:t>4</w:t>
      </w:r>
      <w:r>
        <w:rPr>
          <w:rFonts w:hint="eastAsia" w:ascii="仿宋_GB2312" w:eastAsia="仿宋_GB2312" w:cs="Times New Roman"/>
          <w:color w:val="000000"/>
          <w:kern w:val="0"/>
          <w:sz w:val="32"/>
          <w:szCs w:val="32"/>
          <w:highlight w:val="none"/>
        </w:rPr>
        <w:t>年度区域绩效目标。</w:t>
      </w:r>
    </w:p>
    <w:p>
      <w:pPr>
        <w:widowControl/>
        <w:adjustRightInd w:val="0"/>
        <w:snapToGrid w:val="0"/>
        <w:spacing w:line="560" w:lineRule="exact"/>
        <w:ind w:firstLine="640" w:firstLineChars="200"/>
        <w:rPr>
          <w:rFonts w:ascii="仿宋_GB2312" w:eastAsia="仿宋_GB2312" w:cs="Times New Roman"/>
          <w:color w:val="000000"/>
          <w:kern w:val="0"/>
          <w:sz w:val="32"/>
          <w:szCs w:val="32"/>
          <w:highlight w:val="none"/>
        </w:rPr>
      </w:pPr>
      <w:r>
        <w:rPr>
          <w:rFonts w:hint="eastAsia" w:ascii="仿宋_GB2312" w:eastAsia="仿宋_GB2312" w:cs="Times New Roman"/>
          <w:color w:val="000000"/>
          <w:kern w:val="0"/>
          <w:sz w:val="32"/>
          <w:szCs w:val="32"/>
          <w:highlight w:val="none"/>
        </w:rPr>
        <w:t>总体目标：改善农村生态环境，提高村民居住环境。</w:t>
      </w:r>
    </w:p>
    <w:p>
      <w:pPr>
        <w:pStyle w:val="3"/>
        <w:spacing w:before="0" w:after="0" w:line="560" w:lineRule="exact"/>
        <w:ind w:firstLine="640" w:firstLineChars="200"/>
        <w:rPr>
          <w:rFonts w:ascii="Times New Roman" w:hAnsi="Times New Roman" w:eastAsia="楷体_GB2312"/>
          <w:b w:val="0"/>
          <w:color w:val="000000"/>
        </w:rPr>
      </w:pPr>
      <w:r>
        <w:rPr>
          <w:rFonts w:hint="eastAsia" w:ascii="Times New Roman" w:hAnsi="Times New Roman" w:eastAsia="楷体_GB2312"/>
          <w:b w:val="0"/>
          <w:color w:val="000000"/>
        </w:rPr>
        <w:t>（二）省内资金安排、分解下达预算和绩效目标情况</w:t>
      </w:r>
    </w:p>
    <w:p>
      <w:pPr>
        <w:spacing w:line="560" w:lineRule="exact"/>
        <w:ind w:firstLine="640" w:firstLineChars="200"/>
        <w:rPr>
          <w:rFonts w:hint="default" w:ascii="Times New Roman" w:hAnsi="Times New Roman" w:eastAsia="仿宋_GB2312" w:cs="Times New Roman"/>
          <w:color w:val="FF0000"/>
          <w:kern w:val="0"/>
          <w:sz w:val="32"/>
          <w:szCs w:val="32"/>
        </w:rPr>
      </w:pPr>
      <w:r>
        <w:rPr>
          <w:rFonts w:hint="default" w:ascii="Times New Roman" w:hAnsi="Times New Roman" w:eastAsia="仿宋_GB2312" w:cs="Times New Roman"/>
          <w:color w:val="000000"/>
          <w:kern w:val="0"/>
          <w:sz w:val="32"/>
          <w:szCs w:val="32"/>
        </w:rPr>
        <w:t>根据中央农村环境整治项目储备库建设情况，择优确定支持项目</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个，经生态环境部同意后，会同贵州省财政厅</w:t>
      </w:r>
      <w:r>
        <w:rPr>
          <w:rFonts w:hint="default" w:ascii="Times New Roman" w:hAnsi="Times New Roman" w:eastAsia="仿宋_GB2312" w:cs="Times New Roman"/>
          <w:color w:val="000000"/>
          <w:kern w:val="0"/>
          <w:sz w:val="32"/>
          <w:szCs w:val="32"/>
          <w:lang w:val="en-US" w:eastAsia="zh-CN"/>
        </w:rPr>
        <w:t>分两批</w:t>
      </w:r>
      <w:r>
        <w:rPr>
          <w:rFonts w:hint="default" w:ascii="Times New Roman" w:hAnsi="Times New Roman" w:eastAsia="仿宋_GB2312" w:cs="Times New Roman"/>
          <w:color w:val="000000"/>
          <w:kern w:val="0"/>
          <w:sz w:val="32"/>
          <w:szCs w:val="32"/>
        </w:rPr>
        <w:t>下发《省财政厅关于提前下达2024年中央农村环境整治资金预算的通知》（黔财资环〔202</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76</w:t>
      </w:r>
      <w:r>
        <w:rPr>
          <w:rFonts w:hint="default" w:ascii="Times New Roman" w:hAnsi="Times New Roman" w:eastAsia="仿宋_GB2312" w:cs="Times New Roman"/>
          <w:color w:val="000000"/>
          <w:kern w:val="0"/>
          <w:sz w:val="32"/>
          <w:szCs w:val="32"/>
        </w:rPr>
        <w:t>号）</w:t>
      </w:r>
      <w:r>
        <w:rPr>
          <w:rFonts w:hint="default" w:ascii="Times New Roman" w:hAnsi="Times New Roman" w:eastAsia="仿宋_GB2312" w:cs="Times New Roman"/>
          <w:color w:val="000000"/>
          <w:kern w:val="0"/>
          <w:sz w:val="32"/>
          <w:szCs w:val="32"/>
          <w:lang w:eastAsia="zh-CN"/>
        </w:rPr>
        <w:t>《省财政厅省生态环境厅关于下达202</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lang w:eastAsia="zh-CN"/>
        </w:rPr>
        <w:t>年中央农村环境整治资金预算</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eastAsia="zh-CN"/>
        </w:rPr>
        <w:t>第二批</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eastAsia="zh-CN"/>
        </w:rPr>
        <w:t>的通知》</w:t>
      </w:r>
      <w:r>
        <w:rPr>
          <w:rFonts w:hint="default" w:ascii="Times New Roman" w:hAnsi="Times New Roman" w:eastAsia="仿宋_GB2312" w:cs="Times New Roman"/>
          <w:color w:val="000000"/>
          <w:kern w:val="0"/>
          <w:sz w:val="32"/>
          <w:szCs w:val="32"/>
        </w:rPr>
        <w:t>（黔财资环〔202</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66</w:t>
      </w:r>
      <w:r>
        <w:rPr>
          <w:rFonts w:hint="default" w:ascii="Times New Roman" w:hAnsi="Times New Roman" w:eastAsia="仿宋_GB2312" w:cs="Times New Roman"/>
          <w:color w:val="000000"/>
          <w:kern w:val="0"/>
          <w:sz w:val="32"/>
          <w:szCs w:val="32"/>
        </w:rPr>
        <w:t>号），将202</w:t>
      </w:r>
      <w:r>
        <w:rPr>
          <w:rFonts w:hint="default"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年中央预算资金</w:t>
      </w:r>
      <w:r>
        <w:rPr>
          <w:rFonts w:hint="default" w:ascii="Times New Roman" w:hAnsi="Times New Roman" w:eastAsia="仿宋_GB2312" w:cs="Times New Roman"/>
          <w:color w:val="000000"/>
          <w:kern w:val="0"/>
          <w:sz w:val="32"/>
          <w:szCs w:val="32"/>
          <w:lang w:val="en-US" w:eastAsia="zh-CN"/>
        </w:rPr>
        <w:t>4392</w:t>
      </w:r>
      <w:r>
        <w:rPr>
          <w:rFonts w:hint="default" w:ascii="Times New Roman" w:hAnsi="Times New Roman" w:eastAsia="仿宋_GB2312" w:cs="Times New Roman"/>
          <w:color w:val="000000"/>
          <w:kern w:val="0"/>
          <w:sz w:val="32"/>
          <w:szCs w:val="32"/>
        </w:rPr>
        <w:t>.00万元分解下达至项目所在相关市（州）财政，同步分解下达了项目绩效目标表。具体分配情况如下：</w:t>
      </w:r>
    </w:p>
    <w:p>
      <w:pPr>
        <w:pStyle w:val="8"/>
        <w:spacing w:line="560" w:lineRule="exact"/>
        <w:jc w:val="right"/>
        <w:rPr>
          <w:rFonts w:ascii="仿宋" w:eastAsia="仿宋" w:cs="Times New Roman"/>
          <w:color w:val="000000"/>
          <w:kern w:val="0"/>
          <w:sz w:val="24"/>
          <w:szCs w:val="24"/>
        </w:rPr>
      </w:pPr>
      <w:r>
        <w:rPr>
          <w:rFonts w:hint="eastAsia" w:ascii="仿宋" w:eastAsia="仿宋" w:cs="Times New Roman"/>
          <w:color w:val="000000"/>
          <w:kern w:val="0"/>
          <w:sz w:val="24"/>
          <w:szCs w:val="24"/>
        </w:rPr>
        <w:t>单位：万元</w:t>
      </w:r>
    </w:p>
    <w:tbl>
      <w:tblPr>
        <w:tblStyle w:val="15"/>
        <w:tblW w:w="90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27"/>
        <w:gridCol w:w="2479"/>
        <w:gridCol w:w="2477"/>
        <w:gridCol w:w="28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blHeader/>
        </w:trPr>
        <w:tc>
          <w:tcPr>
            <w:tcW w:w="122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rPr>
                <w:rFonts w:hint="default" w:ascii="Times New Roman" w:hAnsi="Times New Roman" w:eastAsia="仿宋" w:cs="Times New Roman"/>
                <w:b/>
                <w:bCs/>
                <w:color w:val="000000"/>
                <w:kern w:val="0"/>
                <w:sz w:val="24"/>
                <w:szCs w:val="24"/>
              </w:rPr>
            </w:pPr>
            <w:r>
              <w:rPr>
                <w:rFonts w:hint="default" w:ascii="Times New Roman" w:hAnsi="Times New Roman" w:eastAsia="仿宋" w:cs="Times New Roman"/>
                <w:b/>
                <w:bCs/>
                <w:color w:val="000000"/>
                <w:kern w:val="0"/>
                <w:sz w:val="24"/>
                <w:szCs w:val="24"/>
              </w:rPr>
              <w:t>序号</w:t>
            </w:r>
          </w:p>
        </w:tc>
        <w:tc>
          <w:tcPr>
            <w:tcW w:w="2479"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rPr>
                <w:rFonts w:hint="default" w:ascii="Times New Roman" w:hAnsi="Times New Roman" w:eastAsia="仿宋" w:cs="Times New Roman"/>
                <w:b/>
                <w:bCs/>
                <w:color w:val="000000"/>
                <w:kern w:val="0"/>
                <w:sz w:val="24"/>
                <w:szCs w:val="24"/>
              </w:rPr>
            </w:pPr>
            <w:r>
              <w:rPr>
                <w:rFonts w:hint="default" w:ascii="Times New Roman" w:hAnsi="Times New Roman" w:eastAsia="仿宋" w:cs="Times New Roman"/>
                <w:b/>
                <w:bCs/>
                <w:color w:val="000000"/>
                <w:kern w:val="0"/>
                <w:sz w:val="24"/>
                <w:szCs w:val="24"/>
              </w:rPr>
              <w:t>市（州）</w:t>
            </w:r>
          </w:p>
        </w:tc>
        <w:tc>
          <w:tcPr>
            <w:tcW w:w="2477"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rPr>
                <w:rFonts w:hint="default" w:ascii="Times New Roman" w:hAnsi="Times New Roman" w:eastAsia="仿宋" w:cs="Times New Roman"/>
                <w:b/>
                <w:bCs/>
                <w:color w:val="000000"/>
                <w:kern w:val="0"/>
                <w:sz w:val="24"/>
                <w:szCs w:val="24"/>
              </w:rPr>
            </w:pPr>
            <w:r>
              <w:rPr>
                <w:rFonts w:hint="default" w:ascii="Times New Roman" w:hAnsi="Times New Roman" w:eastAsia="仿宋" w:cs="Times New Roman"/>
                <w:b/>
                <w:bCs/>
                <w:color w:val="000000"/>
                <w:kern w:val="0"/>
                <w:sz w:val="24"/>
                <w:szCs w:val="24"/>
              </w:rPr>
              <w:t>县（区）</w:t>
            </w:r>
          </w:p>
        </w:tc>
        <w:tc>
          <w:tcPr>
            <w:tcW w:w="2876"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rPr>
                <w:rFonts w:hint="default" w:ascii="Times New Roman" w:hAnsi="Times New Roman" w:eastAsia="仿宋" w:cs="Times New Roman"/>
                <w:b/>
                <w:bCs/>
                <w:color w:val="000000"/>
                <w:kern w:val="0"/>
                <w:sz w:val="24"/>
                <w:szCs w:val="24"/>
              </w:rPr>
            </w:pPr>
            <w:r>
              <w:rPr>
                <w:rFonts w:hint="default" w:ascii="Times New Roman" w:hAnsi="Times New Roman" w:eastAsia="仿宋" w:cs="Times New Roman"/>
                <w:b/>
                <w:bCs/>
                <w:color w:val="000000"/>
                <w:kern w:val="0"/>
                <w:sz w:val="24"/>
                <w:szCs w:val="24"/>
              </w:rPr>
              <w:t>预算下达金额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27"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sz w:val="24"/>
                <w:szCs w:val="24"/>
              </w:rPr>
              <w:t>1</w:t>
            </w:r>
          </w:p>
        </w:tc>
        <w:tc>
          <w:tcPr>
            <w:tcW w:w="2479"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省本级</w:t>
            </w:r>
          </w:p>
        </w:tc>
        <w:tc>
          <w:tcPr>
            <w:tcW w:w="2477"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省本级</w:t>
            </w:r>
          </w:p>
        </w:tc>
        <w:tc>
          <w:tcPr>
            <w:tcW w:w="2876"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lang w:val="en-US" w:eastAsia="zh-CN"/>
              </w:rPr>
              <w:t>0</w:t>
            </w:r>
            <w:r>
              <w:rPr>
                <w:rFonts w:hint="default" w:ascii="Times New Roman" w:hAnsi="Times New Roman" w:eastAsia="仿宋" w:cs="Times New Roman"/>
                <w:color w:val="000000"/>
                <w:sz w:val="24"/>
                <w:szCs w:val="24"/>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27" w:type="dxa"/>
            <w:tcBorders>
              <w:top w:val="nil"/>
              <w:left w:val="single" w:color="000000" w:sz="8" w:space="0"/>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2</w:t>
            </w:r>
          </w:p>
        </w:tc>
        <w:tc>
          <w:tcPr>
            <w:tcW w:w="2479"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lang w:val="en-US" w:eastAsia="zh-CN"/>
              </w:rPr>
              <w:t>贵阳</w:t>
            </w:r>
            <w:r>
              <w:rPr>
                <w:rFonts w:hint="default" w:ascii="Times New Roman" w:hAnsi="Times New Roman" w:eastAsia="仿宋" w:cs="Times New Roman"/>
                <w:color w:val="000000"/>
                <w:sz w:val="24"/>
                <w:szCs w:val="24"/>
              </w:rPr>
              <w:t>市</w:t>
            </w:r>
          </w:p>
        </w:tc>
        <w:tc>
          <w:tcPr>
            <w:tcW w:w="2477"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市本级</w:t>
            </w:r>
          </w:p>
        </w:tc>
        <w:tc>
          <w:tcPr>
            <w:tcW w:w="2876"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lang w:val="en-US"/>
              </w:rPr>
            </w:pPr>
            <w:r>
              <w:rPr>
                <w:rFonts w:hint="default" w:ascii="Times New Roman" w:hAnsi="Times New Roman" w:eastAsia="仿宋" w:cs="Times New Roman"/>
                <w:color w:val="000000"/>
                <w:sz w:val="24"/>
                <w:szCs w:val="24"/>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27" w:type="dxa"/>
            <w:tcBorders>
              <w:top w:val="nil"/>
              <w:left w:val="single" w:color="000000" w:sz="8" w:space="0"/>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3</w:t>
            </w:r>
          </w:p>
        </w:tc>
        <w:tc>
          <w:tcPr>
            <w:tcW w:w="2479"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遵义市</w:t>
            </w:r>
          </w:p>
        </w:tc>
        <w:tc>
          <w:tcPr>
            <w:tcW w:w="2477"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市本级</w:t>
            </w:r>
          </w:p>
        </w:tc>
        <w:tc>
          <w:tcPr>
            <w:tcW w:w="2876"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lang w:val="en-US"/>
              </w:rPr>
            </w:pPr>
            <w:r>
              <w:rPr>
                <w:rFonts w:hint="default" w:ascii="Times New Roman" w:hAnsi="Times New Roman" w:eastAsia="仿宋" w:cs="Times New Roman"/>
                <w:color w:val="000000"/>
                <w:sz w:val="24"/>
                <w:szCs w:val="24"/>
                <w:lang w:val="en-US" w:eastAsia="zh-CN"/>
              </w:rPr>
              <w:t>2006.00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27" w:type="dxa"/>
            <w:tcBorders>
              <w:top w:val="nil"/>
              <w:left w:val="single" w:color="000000" w:sz="8" w:space="0"/>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4</w:t>
            </w:r>
          </w:p>
        </w:tc>
        <w:tc>
          <w:tcPr>
            <w:tcW w:w="2479"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安顺市</w:t>
            </w:r>
          </w:p>
        </w:tc>
        <w:tc>
          <w:tcPr>
            <w:tcW w:w="2477"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市本级</w:t>
            </w:r>
          </w:p>
        </w:tc>
        <w:tc>
          <w:tcPr>
            <w:tcW w:w="2876"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lang w:val="en-US" w:eastAsia="zh-CN"/>
              </w:rPr>
            </w:pPr>
            <w:r>
              <w:rPr>
                <w:rFonts w:hint="default" w:ascii="Times New Roman" w:hAnsi="Times New Roman" w:eastAsia="仿宋" w:cs="Times New Roman"/>
                <w:color w:val="000000"/>
                <w:sz w:val="24"/>
                <w:szCs w:val="24"/>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27" w:type="dxa"/>
            <w:tcBorders>
              <w:top w:val="nil"/>
              <w:left w:val="single" w:color="000000" w:sz="8" w:space="0"/>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5</w:t>
            </w:r>
          </w:p>
        </w:tc>
        <w:tc>
          <w:tcPr>
            <w:tcW w:w="2479"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黔南州</w:t>
            </w:r>
          </w:p>
        </w:tc>
        <w:tc>
          <w:tcPr>
            <w:tcW w:w="2477"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州本级</w:t>
            </w:r>
          </w:p>
        </w:tc>
        <w:tc>
          <w:tcPr>
            <w:tcW w:w="2876"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lang w:val="en-US"/>
              </w:rPr>
            </w:pPr>
            <w:r>
              <w:rPr>
                <w:rFonts w:hint="default" w:ascii="Times New Roman" w:hAnsi="Times New Roman" w:eastAsia="仿宋" w:cs="Times New Roman"/>
                <w:color w:val="000000"/>
                <w:sz w:val="24"/>
                <w:szCs w:val="24"/>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27" w:type="dxa"/>
            <w:tcBorders>
              <w:top w:val="nil"/>
              <w:left w:val="single" w:color="000000" w:sz="8" w:space="0"/>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6</w:t>
            </w:r>
          </w:p>
        </w:tc>
        <w:tc>
          <w:tcPr>
            <w:tcW w:w="2479"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黔东南州</w:t>
            </w:r>
          </w:p>
        </w:tc>
        <w:tc>
          <w:tcPr>
            <w:tcW w:w="2477"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州本级</w:t>
            </w:r>
          </w:p>
        </w:tc>
        <w:tc>
          <w:tcPr>
            <w:tcW w:w="2876"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lang w:val="en-US" w:eastAsia="zh-CN"/>
              </w:rPr>
              <w:t>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27" w:type="dxa"/>
            <w:tcBorders>
              <w:top w:val="nil"/>
              <w:left w:val="single" w:color="000000" w:sz="8" w:space="0"/>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7</w:t>
            </w:r>
          </w:p>
        </w:tc>
        <w:tc>
          <w:tcPr>
            <w:tcW w:w="2479"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毕节市</w:t>
            </w:r>
          </w:p>
        </w:tc>
        <w:tc>
          <w:tcPr>
            <w:tcW w:w="2477"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市本级</w:t>
            </w:r>
          </w:p>
        </w:tc>
        <w:tc>
          <w:tcPr>
            <w:tcW w:w="2876"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lang w:val="en-US"/>
              </w:rPr>
            </w:pPr>
            <w:r>
              <w:rPr>
                <w:rFonts w:hint="default" w:ascii="Times New Roman" w:hAnsi="Times New Roman" w:eastAsia="仿宋" w:cs="Times New Roman"/>
                <w:color w:val="000000"/>
                <w:sz w:val="24"/>
                <w:szCs w:val="24"/>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27" w:type="dxa"/>
            <w:tcBorders>
              <w:top w:val="nil"/>
              <w:left w:val="single" w:color="000000" w:sz="8" w:space="0"/>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8</w:t>
            </w:r>
          </w:p>
        </w:tc>
        <w:tc>
          <w:tcPr>
            <w:tcW w:w="2479"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铜仁市</w:t>
            </w:r>
          </w:p>
        </w:tc>
        <w:tc>
          <w:tcPr>
            <w:tcW w:w="2477"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市本级</w:t>
            </w:r>
          </w:p>
        </w:tc>
        <w:tc>
          <w:tcPr>
            <w:tcW w:w="2876"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lang w:val="en-US"/>
              </w:rPr>
            </w:pPr>
            <w:r>
              <w:rPr>
                <w:rFonts w:hint="default" w:ascii="Times New Roman" w:hAnsi="Times New Roman" w:eastAsia="仿宋" w:cs="Times New Roman"/>
                <w:color w:val="000000"/>
                <w:sz w:val="24"/>
                <w:szCs w:val="24"/>
                <w:lang w:val="en-US" w:eastAsia="zh-CN"/>
              </w:rPr>
              <w:t>1786.00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27" w:type="dxa"/>
            <w:tcBorders>
              <w:top w:val="nil"/>
              <w:left w:val="single" w:color="000000" w:sz="8" w:space="0"/>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9</w:t>
            </w:r>
          </w:p>
        </w:tc>
        <w:tc>
          <w:tcPr>
            <w:tcW w:w="2479"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黔西南州</w:t>
            </w:r>
          </w:p>
        </w:tc>
        <w:tc>
          <w:tcPr>
            <w:tcW w:w="2477"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州本级</w:t>
            </w:r>
          </w:p>
        </w:tc>
        <w:tc>
          <w:tcPr>
            <w:tcW w:w="2876" w:type="dxa"/>
            <w:tcBorders>
              <w:top w:val="nil"/>
              <w:left w:val="nil"/>
              <w:bottom w:val="single" w:color="000000" w:sz="8" w:space="0"/>
              <w:right w:val="single" w:color="000000" w:sz="8" w:space="0"/>
            </w:tcBorders>
            <w:shd w:val="clear" w:color="auto" w:fill="auto"/>
            <w:noWrap/>
            <w:vAlign w:val="center"/>
          </w:tcPr>
          <w:p>
            <w:pPr>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lang w:val="en-US" w:eastAsia="zh-CN"/>
              </w:rPr>
              <w:t>0</w:t>
            </w:r>
            <w:r>
              <w:rPr>
                <w:rFonts w:hint="default" w:ascii="Times New Roman" w:hAnsi="Times New Roman" w:eastAsia="仿宋" w:cs="Times New Roman"/>
                <w:color w:val="000000"/>
                <w:sz w:val="24"/>
                <w:szCs w:val="24"/>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183" w:type="dxa"/>
            <w:gridSpan w:val="3"/>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rPr>
              <w:t>合计</w:t>
            </w:r>
          </w:p>
        </w:tc>
        <w:tc>
          <w:tcPr>
            <w:tcW w:w="2876" w:type="dxa"/>
            <w:tcBorders>
              <w:top w:val="nil"/>
              <w:left w:val="nil"/>
              <w:bottom w:val="single" w:color="000000" w:sz="8" w:space="0"/>
              <w:right w:val="single" w:color="000000" w:sz="8" w:space="0"/>
            </w:tcBorders>
            <w:shd w:val="clear" w:color="auto" w:fill="auto"/>
            <w:noWrap/>
            <w:vAlign w:val="center"/>
          </w:tcPr>
          <w:p>
            <w:pPr>
              <w:widowControl/>
              <w:jc w:val="center"/>
              <w:rPr>
                <w:rFonts w:hint="default" w:ascii="Times New Roman" w:hAnsi="Times New Roman" w:eastAsia="仿宋" w:cs="Times New Roman"/>
                <w:color w:val="000000"/>
                <w:kern w:val="0"/>
                <w:sz w:val="24"/>
                <w:szCs w:val="24"/>
                <w:lang w:val="en-US"/>
              </w:rPr>
            </w:pPr>
            <w:r>
              <w:rPr>
                <w:rFonts w:hint="default" w:ascii="Times New Roman" w:hAnsi="Times New Roman" w:eastAsia="仿宋" w:cs="Times New Roman"/>
                <w:color w:val="000000"/>
                <w:kern w:val="0"/>
                <w:sz w:val="24"/>
                <w:szCs w:val="24"/>
                <w:lang w:val="en-US" w:eastAsia="zh-CN"/>
              </w:rPr>
              <w:t>4392.00</w:t>
            </w:r>
          </w:p>
        </w:tc>
      </w:tr>
    </w:tbl>
    <w:p>
      <w:pPr>
        <w:pStyle w:val="2"/>
        <w:spacing w:before="0" w:after="0" w:line="560" w:lineRule="exact"/>
        <w:ind w:firstLine="640" w:firstLineChars="200"/>
        <w:jc w:val="both"/>
        <w:rPr>
          <w:rFonts w:ascii="黑体" w:eastAsia="黑体"/>
          <w:b w:val="0"/>
          <w:color w:val="000000"/>
          <w:sz w:val="32"/>
          <w:szCs w:val="32"/>
        </w:rPr>
      </w:pPr>
      <w:r>
        <w:rPr>
          <w:rFonts w:hint="eastAsia" w:ascii="黑体" w:eastAsia="黑体"/>
          <w:b w:val="0"/>
          <w:color w:val="000000"/>
          <w:sz w:val="32"/>
          <w:szCs w:val="32"/>
        </w:rPr>
        <w:t>二、绩效情况分析</w:t>
      </w:r>
    </w:p>
    <w:p>
      <w:pPr>
        <w:pStyle w:val="3"/>
        <w:spacing w:before="0" w:after="0" w:line="560" w:lineRule="exact"/>
        <w:ind w:firstLine="640" w:firstLineChars="200"/>
        <w:rPr>
          <w:rFonts w:ascii="Times New Roman" w:hAnsi="Times New Roman" w:eastAsia="楷体_GB2312"/>
          <w:b w:val="0"/>
          <w:color w:val="000000"/>
        </w:rPr>
      </w:pPr>
      <w:r>
        <w:rPr>
          <w:rFonts w:hint="eastAsia" w:ascii="Times New Roman" w:hAnsi="Times New Roman" w:eastAsia="楷体_GB2312"/>
          <w:b w:val="0"/>
          <w:color w:val="000000"/>
        </w:rPr>
        <w:t>（</w:t>
      </w:r>
      <w:r>
        <w:rPr>
          <w:rFonts w:hint="eastAsia" w:ascii="Times New Roman" w:hAnsi="Times New Roman" w:eastAsia="楷体_GB2312"/>
          <w:b w:val="0"/>
          <w:color w:val="000000"/>
          <w:lang w:eastAsia="zh-CN"/>
        </w:rPr>
        <w:t>一</w:t>
      </w:r>
      <w:r>
        <w:rPr>
          <w:rFonts w:hint="eastAsia" w:ascii="Times New Roman" w:hAnsi="Times New Roman" w:eastAsia="楷体_GB2312"/>
          <w:b w:val="0"/>
          <w:color w:val="000000"/>
        </w:rPr>
        <w:t>）总体绩效目标完成情况分析</w:t>
      </w:r>
    </w:p>
    <w:p>
      <w:pPr>
        <w:widowControl/>
        <w:adjustRightInd w:val="0"/>
        <w:snapToGrid w:val="0"/>
        <w:spacing w:line="56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2024年，为有序推进我省农村生活污水治理管控工作，我厅坚持问题导向、目标导向，既尽力而为、又量力而行，采取一系列措施有序推进农村生活污水治理管控工作。</w:t>
      </w:r>
      <w:r>
        <w:rPr>
          <w:rFonts w:hint="default" w:ascii="Times New Roman" w:hAnsi="Times New Roman" w:eastAsia="黑体" w:cs="Times New Roman"/>
          <w:kern w:val="0"/>
          <w:sz w:val="32"/>
          <w:szCs w:val="32"/>
        </w:rPr>
        <w:t>一是</w:t>
      </w:r>
      <w:r>
        <w:rPr>
          <w:rFonts w:hint="default" w:ascii="Times New Roman" w:hAnsi="Times New Roman" w:eastAsia="仿宋_GB2312" w:cs="Times New Roman"/>
          <w:kern w:val="0"/>
          <w:sz w:val="32"/>
          <w:szCs w:val="32"/>
        </w:rPr>
        <w:t>及时分解下达年度任务，印发《贵州省生态环境厅关于下达20</w:t>
      </w:r>
      <w:r>
        <w:rPr>
          <w:rFonts w:hint="default" w:ascii="Times New Roman" w:hAnsi="Times New Roman" w:eastAsia="仿宋_GB2312" w:cs="Times New Roman"/>
          <w:kern w:val="0"/>
          <w:sz w:val="32"/>
          <w:szCs w:val="32"/>
          <w:lang w:val="en-US" w:eastAsia="zh-CN"/>
        </w:rPr>
        <w:t>24</w:t>
      </w:r>
      <w:r>
        <w:rPr>
          <w:rFonts w:hint="default" w:ascii="Times New Roman" w:hAnsi="Times New Roman" w:eastAsia="仿宋_GB2312" w:cs="Times New Roman"/>
          <w:kern w:val="0"/>
          <w:sz w:val="32"/>
          <w:szCs w:val="32"/>
        </w:rPr>
        <w:t>年全省农村环境整治任务的通知》，分解</w:t>
      </w:r>
      <w:r>
        <w:rPr>
          <w:rFonts w:hint="default" w:ascii="Times New Roman" w:hAnsi="Times New Roman" w:eastAsia="仿宋_GB2312" w:cs="Times New Roman"/>
          <w:kern w:val="0"/>
          <w:sz w:val="32"/>
          <w:szCs w:val="32"/>
          <w:lang w:val="en-US" w:eastAsia="zh-CN"/>
        </w:rPr>
        <w:t>年度工作</w:t>
      </w:r>
      <w:r>
        <w:rPr>
          <w:rFonts w:hint="default" w:ascii="Times New Roman" w:hAnsi="Times New Roman" w:eastAsia="仿宋_GB2312" w:cs="Times New Roman"/>
          <w:kern w:val="0"/>
          <w:sz w:val="32"/>
          <w:szCs w:val="32"/>
        </w:rPr>
        <w:t>任务，有序推进农村生活污水治理</w:t>
      </w:r>
      <w:r>
        <w:rPr>
          <w:rFonts w:hint="default" w:ascii="Times New Roman" w:hAnsi="Times New Roman" w:eastAsia="仿宋_GB2312" w:cs="Times New Roman"/>
          <w:kern w:val="0"/>
          <w:sz w:val="32"/>
          <w:szCs w:val="32"/>
          <w:lang w:val="en-US" w:eastAsia="zh-CN"/>
        </w:rPr>
        <w:t>管控</w:t>
      </w:r>
      <w:r>
        <w:rPr>
          <w:rFonts w:hint="default" w:ascii="Times New Roman" w:hAnsi="Times New Roman" w:eastAsia="仿宋_GB2312" w:cs="Times New Roman"/>
          <w:kern w:val="0"/>
          <w:sz w:val="32"/>
          <w:szCs w:val="32"/>
        </w:rPr>
        <w:t>。</w:t>
      </w:r>
      <w:r>
        <w:rPr>
          <w:rFonts w:hint="default" w:ascii="Times New Roman" w:hAnsi="Times New Roman" w:eastAsia="黑体" w:cs="Times New Roman"/>
          <w:kern w:val="0"/>
          <w:sz w:val="32"/>
          <w:szCs w:val="32"/>
        </w:rPr>
        <w:t>二是</w:t>
      </w:r>
      <w:r>
        <w:rPr>
          <w:rFonts w:hint="default" w:ascii="Times New Roman" w:hAnsi="Times New Roman" w:eastAsia="仿宋_GB2312" w:cs="Times New Roman"/>
          <w:kern w:val="0"/>
          <w:sz w:val="32"/>
          <w:szCs w:val="32"/>
        </w:rPr>
        <w:t>积极探索农村生活污水处理与资源化利用。认真贯彻《贵州省农村生活污水资源化利用指南（试行）》《贵州省生态环境厅关于开展农村生活污水处理与资源化利用试点的通知》，充分利用我省农村人口居住分散、环境容量较大的特征条件，</w:t>
      </w:r>
      <w:r>
        <w:rPr>
          <w:rFonts w:hint="default" w:ascii="Times New Roman" w:hAnsi="Times New Roman" w:eastAsia="仿宋_GB2312" w:cs="Times New Roman"/>
          <w:kern w:val="0"/>
          <w:sz w:val="32"/>
          <w:szCs w:val="32"/>
          <w:lang w:val="en-US" w:eastAsia="zh-CN"/>
        </w:rPr>
        <w:t>印发《贵州省2024年度农村生活污水治理管控工作方案》</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因地制宜开展农村生活污水治理管控，</w:t>
      </w:r>
      <w:r>
        <w:rPr>
          <w:rFonts w:hint="default" w:ascii="Times New Roman" w:hAnsi="Times New Roman" w:eastAsia="仿宋_GB2312" w:cs="Times New Roman"/>
          <w:kern w:val="0"/>
          <w:sz w:val="32"/>
          <w:szCs w:val="32"/>
        </w:rPr>
        <w:t>尽可能节省资金，减轻财政压力。</w:t>
      </w:r>
      <w:r>
        <w:rPr>
          <w:rFonts w:hint="default" w:ascii="Times New Roman" w:hAnsi="Times New Roman" w:eastAsia="黑体" w:cs="Times New Roman"/>
          <w:kern w:val="0"/>
          <w:sz w:val="32"/>
          <w:szCs w:val="32"/>
        </w:rPr>
        <w:t>三是</w:t>
      </w:r>
      <w:r>
        <w:rPr>
          <w:rFonts w:hint="default" w:ascii="Times New Roman" w:hAnsi="Times New Roman" w:eastAsia="仿宋_GB2312" w:cs="Times New Roman"/>
          <w:kern w:val="0"/>
          <w:sz w:val="32"/>
          <w:szCs w:val="32"/>
        </w:rPr>
        <w:t>积极争取项目资金支持。抢抓新国发2号文件战略机遇，指导市（州）加强农村环境整治和农村生活污水治理等项目编报，争取更多优质项目入选中央项目库，争取更多资金支持。2022年至今，已争取到中央农村环境整治资金</w:t>
      </w:r>
      <w:r>
        <w:rPr>
          <w:rFonts w:hint="default" w:ascii="Times New Roman" w:hAnsi="Times New Roman" w:eastAsia="仿宋_GB2312" w:cs="Times New Roman"/>
          <w:kern w:val="0"/>
          <w:sz w:val="32"/>
          <w:szCs w:val="32"/>
          <w:lang w:val="en-US" w:eastAsia="zh-CN"/>
        </w:rPr>
        <w:t>2.99亿元</w:t>
      </w:r>
      <w:r>
        <w:rPr>
          <w:rFonts w:hint="default" w:ascii="Times New Roman" w:hAnsi="Times New Roman" w:eastAsia="仿宋_GB2312" w:cs="Times New Roman"/>
          <w:kern w:val="0"/>
          <w:sz w:val="32"/>
          <w:szCs w:val="32"/>
        </w:rPr>
        <w:t>和省级农村生活污水治理资金</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2亿元</w:t>
      </w:r>
      <w:r>
        <w:rPr>
          <w:rFonts w:hint="default" w:ascii="Times New Roman" w:hAnsi="Times New Roman" w:eastAsia="仿宋_GB2312" w:cs="Times New Roman"/>
          <w:kern w:val="0"/>
          <w:sz w:val="32"/>
          <w:szCs w:val="32"/>
        </w:rPr>
        <w:t>，支持各地开展农村环境整治和农村生活污水治理。</w:t>
      </w:r>
      <w:r>
        <w:rPr>
          <w:rFonts w:hint="default" w:ascii="Times New Roman" w:hAnsi="Times New Roman" w:eastAsia="黑体" w:cs="Times New Roman"/>
          <w:kern w:val="0"/>
          <w:sz w:val="32"/>
          <w:szCs w:val="32"/>
        </w:rPr>
        <w:t>四是</w:t>
      </w:r>
      <w:r>
        <w:rPr>
          <w:rFonts w:hint="default" w:ascii="Times New Roman" w:hAnsi="Times New Roman" w:eastAsia="仿宋_GB2312" w:cs="Times New Roman"/>
          <w:kern w:val="0"/>
          <w:sz w:val="32"/>
          <w:szCs w:val="32"/>
        </w:rPr>
        <w:t>强化调度督导。建立农村生活污水治理</w:t>
      </w:r>
      <w:r>
        <w:rPr>
          <w:rFonts w:hint="default" w:ascii="Times New Roman" w:hAnsi="Times New Roman" w:eastAsia="仿宋_GB2312" w:cs="Times New Roman"/>
          <w:kern w:val="0"/>
          <w:sz w:val="32"/>
          <w:szCs w:val="32"/>
          <w:lang w:val="en-US" w:eastAsia="zh-CN"/>
        </w:rPr>
        <w:t>管控</w:t>
      </w:r>
      <w:r>
        <w:rPr>
          <w:rFonts w:hint="default" w:ascii="Times New Roman" w:hAnsi="Times New Roman" w:eastAsia="仿宋_GB2312" w:cs="Times New Roman"/>
          <w:kern w:val="0"/>
          <w:sz w:val="32"/>
          <w:szCs w:val="32"/>
        </w:rPr>
        <w:t>工作台账，明确责任单位和完成时限，压实责任，确保工作落细落实。202</w:t>
      </w: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年，厅分管领导带队到</w:t>
      </w:r>
      <w:r>
        <w:rPr>
          <w:rFonts w:hint="default" w:ascii="Times New Roman" w:hAnsi="Times New Roman" w:eastAsia="仿宋_GB2312" w:cs="Times New Roman"/>
          <w:kern w:val="0"/>
          <w:sz w:val="32"/>
          <w:szCs w:val="32"/>
          <w:lang w:val="en-US" w:eastAsia="zh-CN"/>
        </w:rPr>
        <w:t>贵阳市、</w:t>
      </w:r>
      <w:r>
        <w:rPr>
          <w:rFonts w:hint="default" w:ascii="Times New Roman" w:hAnsi="Times New Roman" w:eastAsia="仿宋_GB2312" w:cs="Times New Roman"/>
          <w:kern w:val="0"/>
          <w:sz w:val="32"/>
          <w:szCs w:val="32"/>
        </w:rPr>
        <w:t>黔南州、</w:t>
      </w:r>
      <w:r>
        <w:rPr>
          <w:rFonts w:hint="default" w:ascii="Times New Roman" w:hAnsi="Times New Roman" w:eastAsia="仿宋_GB2312" w:cs="Times New Roman"/>
          <w:kern w:val="0"/>
          <w:sz w:val="32"/>
          <w:szCs w:val="32"/>
          <w:lang w:val="en-US" w:eastAsia="zh-CN"/>
        </w:rPr>
        <w:t>黔东南州</w:t>
      </w:r>
      <w:r>
        <w:rPr>
          <w:rFonts w:hint="default" w:ascii="Times New Roman" w:hAnsi="Times New Roman" w:eastAsia="仿宋_GB2312" w:cs="Times New Roman"/>
          <w:kern w:val="0"/>
          <w:sz w:val="32"/>
          <w:szCs w:val="32"/>
        </w:rPr>
        <w:t>、毕节市等地开展农村环境整治专题调研，督促指导推进202</w:t>
      </w: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年工作任务。截至202</w:t>
      </w: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年12月底，全省已累计完成农村生活污水治理</w:t>
      </w:r>
      <w:r>
        <w:rPr>
          <w:rFonts w:hint="default" w:ascii="Times New Roman" w:hAnsi="Times New Roman" w:eastAsia="仿宋_GB2312" w:cs="Times New Roman"/>
          <w:kern w:val="0"/>
          <w:sz w:val="32"/>
          <w:szCs w:val="32"/>
          <w:lang w:val="en-US" w:eastAsia="zh-CN"/>
        </w:rPr>
        <w:t>管控</w:t>
      </w:r>
      <w:r>
        <w:rPr>
          <w:rFonts w:hint="default" w:ascii="Times New Roman" w:hAnsi="Times New Roman" w:eastAsia="仿宋_GB2312" w:cs="Times New Roman"/>
          <w:kern w:val="0"/>
          <w:sz w:val="32"/>
          <w:szCs w:val="32"/>
        </w:rPr>
        <w:t>行政村</w:t>
      </w:r>
      <w:r>
        <w:rPr>
          <w:rFonts w:hint="default" w:ascii="Times New Roman" w:hAnsi="Times New Roman" w:eastAsia="仿宋_GB2312" w:cs="Times New Roman"/>
          <w:kern w:val="0"/>
          <w:sz w:val="32"/>
          <w:szCs w:val="32"/>
          <w:lang w:val="en-US" w:eastAsia="zh-CN"/>
        </w:rPr>
        <w:t>7636</w:t>
      </w:r>
      <w:r>
        <w:rPr>
          <w:rFonts w:hint="default" w:ascii="Times New Roman" w:hAnsi="Times New Roman" w:eastAsia="仿宋_GB2312" w:cs="Times New Roman"/>
          <w:kern w:val="0"/>
          <w:sz w:val="32"/>
          <w:szCs w:val="32"/>
        </w:rPr>
        <w:t>个，56条国家监管黑臭水体已累计完成</w:t>
      </w:r>
      <w:r>
        <w:rPr>
          <w:rFonts w:hint="default" w:ascii="Times New Roman" w:hAnsi="Times New Roman" w:eastAsia="仿宋_GB2312" w:cs="Times New Roman"/>
          <w:kern w:val="0"/>
          <w:sz w:val="32"/>
          <w:szCs w:val="32"/>
          <w:lang w:val="en-US" w:eastAsia="zh-CN"/>
        </w:rPr>
        <w:t>49</w:t>
      </w:r>
      <w:r>
        <w:rPr>
          <w:rFonts w:hint="default" w:ascii="Times New Roman" w:hAnsi="Times New Roman" w:eastAsia="仿宋_GB2312" w:cs="Times New Roman"/>
          <w:kern w:val="0"/>
          <w:sz w:val="32"/>
          <w:szCs w:val="32"/>
        </w:rPr>
        <w:t>条，农村生活污水治理</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sz w:val="32"/>
          <w:szCs w:val="32"/>
          <w:lang w:val="en-US" w:eastAsia="zh-CN"/>
        </w:rPr>
        <w:t>管控）</w:t>
      </w:r>
      <w:r>
        <w:rPr>
          <w:rFonts w:hint="default" w:ascii="Times New Roman" w:hAnsi="Times New Roman" w:eastAsia="仿宋_GB2312" w:cs="Times New Roman"/>
          <w:kern w:val="0"/>
          <w:sz w:val="32"/>
          <w:szCs w:val="32"/>
        </w:rPr>
        <w:t>率</w:t>
      </w:r>
      <w:r>
        <w:rPr>
          <w:rFonts w:hint="default" w:ascii="Times New Roman" w:hAnsi="Times New Roman" w:eastAsia="仿宋_GB2312" w:cs="Times New Roman"/>
          <w:kern w:val="0"/>
          <w:sz w:val="32"/>
          <w:szCs w:val="32"/>
          <w:lang w:val="en-US" w:eastAsia="zh-CN"/>
        </w:rPr>
        <w:t>55.8</w:t>
      </w:r>
      <w:r>
        <w:rPr>
          <w:rFonts w:hint="default" w:ascii="Times New Roman" w:hAnsi="Times New Roman" w:eastAsia="仿宋_GB2312" w:cs="Times New Roman"/>
          <w:kern w:val="0"/>
          <w:sz w:val="32"/>
          <w:szCs w:val="32"/>
        </w:rPr>
        <w:t>%。</w:t>
      </w:r>
    </w:p>
    <w:p>
      <w:pPr>
        <w:pStyle w:val="3"/>
        <w:spacing w:before="0" w:after="0" w:line="560" w:lineRule="exact"/>
        <w:ind w:firstLine="640" w:firstLineChars="200"/>
        <w:rPr>
          <w:rFonts w:hint="default" w:ascii="Times New Roman" w:hAnsi="Times New Roman" w:eastAsia="楷体_GB2312" w:cs="Times New Roman"/>
          <w:b w:val="0"/>
          <w:color w:val="000000"/>
        </w:rPr>
      </w:pPr>
      <w:r>
        <w:rPr>
          <w:rFonts w:hint="default" w:ascii="Times New Roman" w:hAnsi="Times New Roman" w:eastAsia="楷体_GB2312" w:cs="Times New Roman"/>
          <w:b w:val="0"/>
          <w:color w:val="000000"/>
        </w:rPr>
        <w:t>（</w:t>
      </w:r>
      <w:r>
        <w:rPr>
          <w:rFonts w:hint="eastAsia" w:ascii="Times New Roman" w:hAnsi="Times New Roman" w:eastAsia="楷体_GB2312" w:cs="Times New Roman"/>
          <w:b w:val="0"/>
          <w:color w:val="000000"/>
          <w:lang w:eastAsia="zh-CN"/>
        </w:rPr>
        <w:t>二</w:t>
      </w:r>
      <w:r>
        <w:rPr>
          <w:rFonts w:hint="default" w:ascii="Times New Roman" w:hAnsi="Times New Roman" w:eastAsia="楷体_GB2312" w:cs="Times New Roman"/>
          <w:b w:val="0"/>
          <w:color w:val="000000"/>
        </w:rPr>
        <w:t>）绩效指标完成情况分析</w:t>
      </w:r>
    </w:p>
    <w:p>
      <w:pPr>
        <w:widowControl/>
        <w:adjustRightInd w:val="0"/>
        <w:snapToGrid w:val="0"/>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1.产出指标完成情况</w:t>
      </w:r>
    </w:p>
    <w:p>
      <w:pPr>
        <w:widowControl/>
        <w:adjustRightInd w:val="0"/>
        <w:snapToGrid w:val="0"/>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（1）数量指标</w:t>
      </w:r>
    </w:p>
    <w:p>
      <w:pPr>
        <w:widowControl/>
        <w:adjustRightInd w:val="0"/>
        <w:snapToGrid w:val="0"/>
        <w:spacing w:line="560" w:lineRule="exact"/>
        <w:ind w:firstLine="640" w:firstLineChars="200"/>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lang w:val="en-US" w:eastAsia="zh-CN"/>
        </w:rPr>
        <w:t>①支持完成环境整治的</w:t>
      </w:r>
      <w:bookmarkStart w:id="0" w:name="OLE_LINK1"/>
      <w:r>
        <w:rPr>
          <w:rFonts w:hint="default" w:ascii="Times New Roman" w:hAnsi="Times New Roman" w:eastAsia="仿宋_GB2312" w:cs="Times New Roman"/>
          <w:kern w:val="0"/>
          <w:sz w:val="32"/>
          <w:szCs w:val="32"/>
          <w:lang w:val="en-US" w:eastAsia="zh-CN"/>
        </w:rPr>
        <w:t>行政村</w:t>
      </w:r>
      <w:bookmarkEnd w:id="0"/>
      <w:r>
        <w:rPr>
          <w:rFonts w:hint="default" w:ascii="Times New Roman" w:hAnsi="Times New Roman" w:eastAsia="仿宋_GB2312" w:cs="Times New Roman"/>
          <w:kern w:val="0"/>
          <w:sz w:val="32"/>
          <w:szCs w:val="32"/>
          <w:lang w:val="en-US" w:eastAsia="zh-CN"/>
        </w:rPr>
        <w:t>数量</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40个</w:t>
      </w:r>
      <w:r>
        <w:rPr>
          <w:rFonts w:hint="default" w:ascii="Times New Roman" w:hAnsi="Times New Roman" w:eastAsia="仿宋_GB2312" w:cs="Times New Roman"/>
          <w:kern w:val="0"/>
          <w:sz w:val="32"/>
          <w:szCs w:val="32"/>
        </w:rPr>
        <w:t>，支持完成环境整治的行政村数量40个，实际计划实施</w:t>
      </w:r>
      <w:r>
        <w:rPr>
          <w:rFonts w:hint="default" w:ascii="Times New Roman" w:hAnsi="Times New Roman" w:eastAsia="仿宋_GB2312" w:cs="Times New Roman"/>
          <w:kern w:val="0"/>
          <w:sz w:val="32"/>
          <w:szCs w:val="32"/>
          <w:lang w:val="en-US" w:eastAsia="zh-CN"/>
        </w:rPr>
        <w:t>40</w:t>
      </w:r>
      <w:r>
        <w:rPr>
          <w:rFonts w:hint="default" w:ascii="Times New Roman" w:hAnsi="Times New Roman" w:eastAsia="仿宋_GB2312" w:cs="Times New Roman"/>
          <w:kern w:val="0"/>
          <w:sz w:val="32"/>
          <w:szCs w:val="32"/>
        </w:rPr>
        <w:t>个</w:t>
      </w:r>
      <w:r>
        <w:rPr>
          <w:rFonts w:hint="default" w:ascii="Times New Roman" w:hAnsi="Times New Roman" w:eastAsia="仿宋_GB2312" w:cs="Times New Roman"/>
          <w:kern w:val="0"/>
          <w:sz w:val="32"/>
          <w:szCs w:val="32"/>
          <w:lang w:val="en-US" w:eastAsia="zh-CN"/>
        </w:rPr>
        <w:t>行政村</w:t>
      </w:r>
      <w:r>
        <w:rPr>
          <w:rFonts w:hint="default" w:ascii="Times New Roman" w:hAnsi="Times New Roman" w:eastAsia="仿宋_GB2312" w:cs="Times New Roman"/>
          <w:kern w:val="0"/>
          <w:sz w:val="32"/>
          <w:szCs w:val="32"/>
          <w:lang w:eastAsia="zh-CN"/>
        </w:rPr>
        <w:t>。</w:t>
      </w:r>
    </w:p>
    <w:p>
      <w:pPr>
        <w:widowControl/>
        <w:adjustRightInd w:val="0"/>
        <w:snapToGrid w:val="0"/>
        <w:spacing w:line="56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②新增农村生活污水处理能力≥200</w:t>
      </w:r>
      <w:r>
        <w:rPr>
          <w:rFonts w:hint="eastAsia"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lang w:val="en-US" w:eastAsia="zh-CN"/>
        </w:rPr>
        <w:t>吨/日</w:t>
      </w:r>
      <w:r>
        <w:rPr>
          <w:rFonts w:hint="eastAsia"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lang w:val="en-US" w:eastAsia="zh-CN"/>
        </w:rPr>
        <w:t>，正安县瑞溪镇尖峰村、格林镇源泉村等6个乡镇10个村农村生活污水治理项目、剑河县岑松镇六府村和南哨镇九朗村等13个行政村农村环境综合整治项目的农村生活污水处理能力≥1485</w:t>
      </w:r>
      <w:r>
        <w:rPr>
          <w:rFonts w:hint="eastAsia"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lang w:val="en-US" w:eastAsia="zh-CN"/>
        </w:rPr>
        <w:t>吨/日</w:t>
      </w:r>
      <w:r>
        <w:rPr>
          <w:rFonts w:hint="eastAsia"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lang w:val="en-US" w:eastAsia="zh-CN"/>
        </w:rPr>
        <w:t>。</w:t>
      </w:r>
    </w:p>
    <w:p>
      <w:pPr>
        <w:widowControl/>
        <w:adjustRightInd w:val="0"/>
        <w:snapToGrid w:val="0"/>
        <w:spacing w:line="560" w:lineRule="exact"/>
        <w:ind w:left="64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（2）质量指标</w:t>
      </w:r>
    </w:p>
    <w:p>
      <w:pPr>
        <w:widowControl/>
        <w:adjustRightInd w:val="0"/>
        <w:snapToGrid w:val="0"/>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kern w:val="0"/>
          <w:sz w:val="32"/>
          <w:szCs w:val="32"/>
          <w:lang w:val="en-US" w:eastAsia="zh-CN"/>
        </w:rPr>
        <w:t>①</w:t>
      </w:r>
      <w:r>
        <w:rPr>
          <w:rFonts w:hint="default" w:ascii="Times New Roman" w:hAnsi="Times New Roman" w:eastAsia="仿宋_GB2312" w:cs="Times New Roman"/>
          <w:color w:val="000000"/>
          <w:kern w:val="0"/>
          <w:sz w:val="32"/>
          <w:szCs w:val="32"/>
          <w:lang w:val="en-US" w:eastAsia="zh-CN"/>
        </w:rPr>
        <w:t>完工项目验收合格率</w:t>
      </w:r>
      <w:r>
        <w:rPr>
          <w:rFonts w:hint="default" w:ascii="Times New Roman" w:hAnsi="Times New Roman" w:eastAsia="仿宋_GB2312" w:cs="Times New Roman"/>
          <w:color w:val="000000"/>
          <w:kern w:val="0"/>
          <w:sz w:val="32"/>
          <w:szCs w:val="32"/>
        </w:rPr>
        <w:t>100%，</w:t>
      </w:r>
      <w:r>
        <w:rPr>
          <w:rFonts w:hint="default" w:ascii="Times New Roman" w:hAnsi="Times New Roman" w:eastAsia="仿宋_GB2312" w:cs="Times New Roman"/>
          <w:sz w:val="32"/>
          <w:szCs w:val="32"/>
        </w:rPr>
        <w:t>截至目前，</w:t>
      </w:r>
      <w:r>
        <w:rPr>
          <w:rFonts w:hint="default" w:ascii="Times New Roman" w:hAnsi="Times New Roman" w:eastAsia="仿宋_GB2312" w:cs="Times New Roman"/>
          <w:sz w:val="32"/>
          <w:szCs w:val="32"/>
          <w:lang w:val="en-US" w:eastAsia="zh-CN"/>
        </w:rPr>
        <w:t>按时序推进，</w:t>
      </w:r>
      <w:r>
        <w:rPr>
          <w:rFonts w:hint="default" w:ascii="Times New Roman" w:hAnsi="Times New Roman" w:eastAsia="仿宋_GB2312" w:cs="Times New Roman"/>
          <w:sz w:val="32"/>
          <w:szCs w:val="32"/>
          <w:lang w:eastAsia="zh-CN"/>
        </w:rPr>
        <w:t>未超过计划完工时间。正安县瑞溪镇尖峰村、格林镇源泉村等6个乡镇10个村农村生活污水治理项目，</w:t>
      </w:r>
      <w:r>
        <w:rPr>
          <w:rFonts w:hint="default" w:ascii="Times New Roman" w:hAnsi="Times New Roman" w:eastAsia="仿宋_GB2312" w:cs="Times New Roman"/>
          <w:sz w:val="32"/>
          <w:szCs w:val="32"/>
          <w:lang w:val="en-US" w:eastAsia="zh-CN"/>
        </w:rPr>
        <w:t>预计</w:t>
      </w:r>
      <w:r>
        <w:rPr>
          <w:rFonts w:hint="default" w:ascii="Times New Roman" w:hAnsi="Times New Roman" w:eastAsia="仿宋_GB2312" w:cs="Times New Roman"/>
          <w:sz w:val="32"/>
          <w:szCs w:val="32"/>
          <w:lang w:eastAsia="zh-CN"/>
        </w:rPr>
        <w:t>绩效目标完成时间为2025年6月中旬；剑河县岑松镇六府村和南哨镇九朗村等13个行政村农村环境综合整治项目，</w:t>
      </w:r>
      <w:r>
        <w:rPr>
          <w:rFonts w:hint="default" w:ascii="Times New Roman" w:hAnsi="Times New Roman" w:eastAsia="仿宋_GB2312" w:cs="Times New Roman"/>
          <w:sz w:val="32"/>
          <w:szCs w:val="32"/>
          <w:lang w:val="en-US" w:eastAsia="zh-CN"/>
        </w:rPr>
        <w:t>预计</w:t>
      </w:r>
      <w:r>
        <w:rPr>
          <w:rFonts w:hint="default" w:ascii="Times New Roman" w:hAnsi="Times New Roman" w:eastAsia="仿宋_GB2312" w:cs="Times New Roman"/>
          <w:sz w:val="32"/>
          <w:szCs w:val="32"/>
          <w:lang w:eastAsia="zh-CN"/>
        </w:rPr>
        <w:t>绩效目标完成时间为2025年12月中旬；印江县车家河湿地公园农村环境综合治理项目（一期），</w:t>
      </w:r>
      <w:r>
        <w:rPr>
          <w:rFonts w:hint="default" w:ascii="Times New Roman" w:hAnsi="Times New Roman" w:eastAsia="仿宋_GB2312" w:cs="Times New Roman"/>
          <w:sz w:val="32"/>
          <w:szCs w:val="32"/>
          <w:lang w:val="en-US" w:eastAsia="zh-CN"/>
        </w:rPr>
        <w:t>预计</w:t>
      </w:r>
      <w:r>
        <w:rPr>
          <w:rFonts w:hint="default" w:ascii="Times New Roman" w:hAnsi="Times New Roman" w:eastAsia="仿宋_GB2312" w:cs="Times New Roman"/>
          <w:sz w:val="32"/>
          <w:szCs w:val="32"/>
          <w:lang w:eastAsia="zh-CN"/>
        </w:rPr>
        <w:t>绩效目标完成时间为2026年1月中旬。</w:t>
      </w:r>
    </w:p>
    <w:p>
      <w:pPr>
        <w:widowControl/>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②</w:t>
      </w:r>
      <w:r>
        <w:rPr>
          <w:rFonts w:hint="default" w:ascii="Times New Roman" w:hAnsi="Times New Roman" w:eastAsia="仿宋_GB2312" w:cs="Times New Roman"/>
          <w:sz w:val="32"/>
          <w:szCs w:val="32"/>
        </w:rPr>
        <w:t>经过整治的村庄，满足“三基本”要求的比例</w:t>
      </w:r>
      <w:r>
        <w:rPr>
          <w:rFonts w:hint="default" w:ascii="Times New Roman" w:hAnsi="Times New Roman" w:eastAsia="仿宋_GB2312" w:cs="Times New Roman"/>
          <w:kern w:val="0"/>
          <w:sz w:val="32"/>
          <w:szCs w:val="32"/>
          <w:lang w:val="en-US" w:eastAsia="zh-CN"/>
        </w:rPr>
        <w:t>≥90%，项目按序推进，未超过计划完工时间。</w:t>
      </w:r>
    </w:p>
    <w:p>
      <w:pPr>
        <w:adjustRightInd w:val="0"/>
        <w:snapToGrid w:val="0"/>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（3）时效指标</w:t>
      </w:r>
    </w:p>
    <w:p>
      <w:pPr>
        <w:adjustRightInd w:val="0"/>
        <w:snapToGrid w:val="0"/>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①项目</w:t>
      </w:r>
      <w:r>
        <w:rPr>
          <w:rFonts w:hint="default" w:ascii="Times New Roman" w:hAnsi="Times New Roman" w:eastAsia="仿宋_GB2312" w:cs="Times New Roman"/>
          <w:color w:val="000000"/>
          <w:kern w:val="0"/>
          <w:sz w:val="32"/>
          <w:szCs w:val="32"/>
          <w:lang w:eastAsia="zh-CN"/>
        </w:rPr>
        <w:t>计划</w:t>
      </w:r>
      <w:r>
        <w:rPr>
          <w:rFonts w:hint="default" w:ascii="Times New Roman" w:hAnsi="Times New Roman" w:eastAsia="仿宋_GB2312" w:cs="Times New Roman"/>
          <w:color w:val="000000"/>
          <w:kern w:val="0"/>
          <w:sz w:val="32"/>
          <w:szCs w:val="32"/>
        </w:rPr>
        <w:t>开工率100%，截至目前，已开工</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个，项目开工率</w:t>
      </w:r>
      <w:r>
        <w:rPr>
          <w:rFonts w:hint="default" w:ascii="Times New Roman" w:hAnsi="Times New Roman" w:eastAsia="仿宋_GB2312" w:cs="Times New Roman"/>
          <w:color w:val="000000"/>
          <w:kern w:val="0"/>
          <w:sz w:val="32"/>
          <w:szCs w:val="32"/>
          <w:lang w:val="en-US" w:eastAsia="zh-CN"/>
        </w:rPr>
        <w:t>66.67</w:t>
      </w:r>
      <w:r>
        <w:rPr>
          <w:rFonts w:hint="default" w:ascii="Times New Roman" w:hAnsi="Times New Roman" w:eastAsia="仿宋_GB2312" w:cs="Times New Roman"/>
          <w:color w:val="000000"/>
          <w:kern w:val="0"/>
          <w:sz w:val="32"/>
          <w:szCs w:val="32"/>
        </w:rPr>
        <w:t>%。</w:t>
      </w:r>
    </w:p>
    <w:p>
      <w:pPr>
        <w:widowControl/>
        <w:adjustRightInd w:val="0"/>
        <w:snapToGrid w:val="0"/>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②项目</w:t>
      </w:r>
      <w:r>
        <w:rPr>
          <w:rFonts w:hint="default" w:ascii="Times New Roman" w:hAnsi="Times New Roman" w:eastAsia="仿宋_GB2312" w:cs="Times New Roman"/>
          <w:color w:val="000000"/>
          <w:kern w:val="0"/>
          <w:sz w:val="32"/>
          <w:szCs w:val="32"/>
          <w:lang w:eastAsia="zh-CN"/>
        </w:rPr>
        <w:t>计划</w:t>
      </w:r>
      <w:r>
        <w:rPr>
          <w:rFonts w:hint="default" w:ascii="Times New Roman" w:hAnsi="Times New Roman" w:eastAsia="仿宋_GB2312" w:cs="Times New Roman"/>
          <w:color w:val="000000"/>
          <w:kern w:val="0"/>
          <w:sz w:val="32"/>
          <w:szCs w:val="32"/>
        </w:rPr>
        <w:t>完工率</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color w:val="000000"/>
          <w:kern w:val="0"/>
          <w:sz w:val="32"/>
          <w:szCs w:val="32"/>
          <w:lang w:val="en-US" w:eastAsia="zh-CN"/>
        </w:rPr>
        <w:t>40</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eastAsia="zh-CN"/>
        </w:rPr>
        <w:t>项目按序推进，未超过计划完工时间</w:t>
      </w:r>
      <w:r>
        <w:rPr>
          <w:rFonts w:hint="default" w:ascii="Times New Roman" w:hAnsi="Times New Roman" w:eastAsia="仿宋_GB2312" w:cs="Times New Roman"/>
          <w:color w:val="000000"/>
          <w:kern w:val="0"/>
          <w:sz w:val="32"/>
          <w:szCs w:val="32"/>
        </w:rPr>
        <w:t>。</w:t>
      </w:r>
    </w:p>
    <w:p>
      <w:pPr>
        <w:keepNext/>
        <w:widowControl/>
        <w:adjustRightInd w:val="0"/>
        <w:snapToGrid w:val="0"/>
        <w:spacing w:line="56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2.效益指标完成情况</w:t>
      </w:r>
    </w:p>
    <w:p>
      <w:pPr>
        <w:widowControl/>
        <w:adjustRightInd w:val="0"/>
        <w:snapToGrid w:val="0"/>
        <w:spacing w:line="56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（1）生态效益</w:t>
      </w:r>
    </w:p>
    <w:p>
      <w:pPr>
        <w:widowControl/>
        <w:adjustRightInd w:val="0"/>
        <w:snapToGrid w:val="0"/>
        <w:spacing w:line="56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农村生活污水治理（管控）率（%）≥24.4%，目前全省达到55.8%。</w:t>
      </w:r>
    </w:p>
    <w:p>
      <w:pPr>
        <w:widowControl/>
        <w:numPr>
          <w:ilvl w:val="0"/>
          <w:numId w:val="1"/>
        </w:numPr>
        <w:adjustRightInd w:val="0"/>
        <w:snapToGrid w:val="0"/>
        <w:spacing w:line="56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可持续影响指标</w:t>
      </w:r>
    </w:p>
    <w:p>
      <w:pPr>
        <w:widowControl/>
        <w:adjustRightInd w:val="0"/>
        <w:snapToGrid w:val="0"/>
        <w:spacing w:line="560" w:lineRule="exact"/>
        <w:ind w:firstLine="640" w:firstLineChars="200"/>
        <w:rPr>
          <w:rFonts w:hint="default" w:ascii="Times New Roman" w:hAnsi="Times New Roman" w:eastAsia="仿宋_GB2312" w:cs="Times New Roman"/>
          <w:kern w:val="0"/>
          <w:sz w:val="32"/>
          <w:szCs w:val="32"/>
          <w:lang w:val="en-US"/>
        </w:rPr>
      </w:pPr>
      <w:r>
        <w:rPr>
          <w:rFonts w:hint="default" w:ascii="Times New Roman" w:hAnsi="Times New Roman" w:eastAsia="仿宋_GB2312" w:cs="Times New Roman"/>
          <w:kern w:val="0"/>
          <w:sz w:val="32"/>
          <w:szCs w:val="32"/>
          <w:lang w:val="en-US" w:eastAsia="zh-CN"/>
        </w:rPr>
        <w:t>新完工设施稳定运行比例≥100%，项目按序推进。</w:t>
      </w:r>
    </w:p>
    <w:p>
      <w:pPr>
        <w:widowControl/>
        <w:adjustRightInd w:val="0"/>
        <w:snapToGrid w:val="0"/>
        <w:spacing w:line="56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.满意度指标完成情况</w:t>
      </w:r>
    </w:p>
    <w:p>
      <w:pPr>
        <w:pStyle w:val="8"/>
        <w:spacing w:line="560" w:lineRule="exact"/>
        <w:ind w:firstLine="640"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群众满意度</w:t>
      </w:r>
      <w:r>
        <w:rPr>
          <w:rFonts w:hint="default" w:ascii="Times New Roman" w:hAnsi="Times New Roman" w:eastAsia="仿宋_GB2312" w:cs="Times New Roman"/>
          <w:kern w:val="0"/>
          <w:sz w:val="32"/>
          <w:szCs w:val="32"/>
          <w:lang w:val="en-US" w:eastAsia="zh-CN"/>
        </w:rPr>
        <w:t>≥90%，</w:t>
      </w:r>
      <w:r>
        <w:rPr>
          <w:rFonts w:hint="default" w:ascii="Times New Roman" w:hAnsi="Times New Roman" w:eastAsia="仿宋_GB2312" w:cs="Times New Roman"/>
          <w:kern w:val="0"/>
          <w:sz w:val="32"/>
          <w:szCs w:val="32"/>
        </w:rPr>
        <w:t>目前202</w:t>
      </w: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val="en-US" w:eastAsia="zh-CN"/>
        </w:rPr>
        <w:t>农村环境整治</w:t>
      </w:r>
      <w:r>
        <w:rPr>
          <w:rFonts w:hint="default" w:ascii="Times New Roman" w:hAnsi="Times New Roman" w:eastAsia="仿宋_GB2312" w:cs="Times New Roman"/>
          <w:kern w:val="0"/>
          <w:sz w:val="32"/>
          <w:szCs w:val="32"/>
        </w:rPr>
        <w:t>资金项目实施过程中，未收到投诉，举报等反馈。</w:t>
      </w:r>
    </w:p>
    <w:p>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1"/>
        <w:rPr>
          <w:rFonts w:hint="eastAsia" w:ascii="黑体" w:eastAsia="黑体"/>
          <w:b w:val="0"/>
          <w:color w:val="000000"/>
          <w:sz w:val="32"/>
          <w:szCs w:val="32"/>
        </w:rPr>
      </w:pPr>
      <w:r>
        <w:rPr>
          <w:rFonts w:hint="eastAsia" w:ascii="黑体" w:eastAsia="黑体"/>
          <w:b w:val="0"/>
          <w:color w:val="000000"/>
          <w:sz w:val="32"/>
          <w:szCs w:val="32"/>
          <w:lang w:eastAsia="zh-CN"/>
        </w:rPr>
        <w:t>三</w:t>
      </w:r>
      <w:r>
        <w:rPr>
          <w:rFonts w:hint="eastAsia" w:ascii="黑体" w:eastAsia="黑体"/>
          <w:b w:val="0"/>
          <w:color w:val="000000"/>
          <w:sz w:val="32"/>
          <w:szCs w:val="32"/>
        </w:rPr>
        <w:t>、绩效自评结果拟应用和公开情况</w:t>
      </w:r>
    </w:p>
    <w:p>
      <w:pPr>
        <w:keepNext w:val="0"/>
        <w:keepLines w:val="0"/>
        <w:pageBreakBefore w:val="0"/>
        <w:widowControl w:val="0"/>
        <w:pBdr>
          <w:top w:val="single" w:color="FFFFFF" w:sz="4" w:space="0"/>
          <w:left w:val="single" w:color="FFFFFF" w:sz="4" w:space="31"/>
          <w:bottom w:val="single" w:color="FFFFFF" w:sz="4" w:space="31"/>
          <w:right w:val="single" w:color="FFFFFF" w:sz="4" w:space="31"/>
        </w:pBdr>
        <w:kinsoku/>
        <w:wordWrap/>
        <w:overflowPunct/>
        <w:topLinePunct/>
        <w:autoSpaceDE/>
        <w:autoSpaceDN/>
        <w:bidi w:val="0"/>
        <w:adjustRightInd w:val="0"/>
        <w:snapToGrid w:val="0"/>
        <w:spacing w:line="540" w:lineRule="exact"/>
        <w:ind w:firstLine="640" w:firstLineChars="200"/>
        <w:textAlignment w:val="auto"/>
        <w:outlineLvl w:val="1"/>
        <w:rPr>
          <w:rFonts w:hint="eastAsia" w:ascii="仿宋_GB2312" w:eastAsia="仿宋_GB2312" w:cs="Times New Roman"/>
          <w:color w:val="000000"/>
          <w:sz w:val="32"/>
          <w:szCs w:val="32"/>
        </w:rPr>
      </w:pPr>
      <w:r>
        <w:rPr>
          <w:rFonts w:hint="eastAsia" w:ascii="仿宋_GB2312" w:eastAsia="仿宋_GB2312" w:cs="Times New Roman"/>
          <w:color w:val="000000"/>
          <w:sz w:val="32"/>
          <w:szCs w:val="32"/>
        </w:rPr>
        <w:t>针对绩效自评结果，拟通过以下措施，强化绩效自评结果的运用：</w:t>
      </w:r>
      <w:r>
        <w:rPr>
          <w:rFonts w:hint="eastAsia" w:ascii="仿宋_GB2312" w:eastAsia="仿宋_GB2312" w:cs="Times New Roman"/>
          <w:b/>
          <w:bCs/>
          <w:color w:val="000000"/>
          <w:sz w:val="32"/>
          <w:szCs w:val="32"/>
        </w:rPr>
        <w:t>一是</w:t>
      </w:r>
      <w:r>
        <w:rPr>
          <w:rFonts w:hint="eastAsia" w:ascii="仿宋_GB2312" w:eastAsia="仿宋_GB2312" w:cs="Times New Roman"/>
          <w:color w:val="000000"/>
          <w:sz w:val="32"/>
          <w:szCs w:val="32"/>
        </w:rPr>
        <w:t>拟公开自评结果，利用绩效自评成果改进下一年度绩效自评指标，并将绩效自</w:t>
      </w:r>
      <w:bookmarkStart w:id="1" w:name="_GoBack"/>
      <w:bookmarkEnd w:id="1"/>
      <w:r>
        <w:rPr>
          <w:rFonts w:hint="eastAsia" w:ascii="仿宋_GB2312" w:eastAsia="仿宋_GB2312" w:cs="Times New Roman"/>
          <w:color w:val="000000"/>
          <w:sz w:val="32"/>
          <w:szCs w:val="32"/>
        </w:rPr>
        <w:t>评结果在厅门户网站公开，接受社会监督，从而完善项目自评机制；</w:t>
      </w:r>
      <w:r>
        <w:rPr>
          <w:rFonts w:hint="eastAsia" w:ascii="仿宋_GB2312" w:eastAsia="仿宋_GB2312" w:cs="Times New Roman"/>
          <w:b/>
          <w:bCs/>
          <w:color w:val="000000"/>
          <w:sz w:val="32"/>
          <w:szCs w:val="32"/>
        </w:rPr>
        <w:t>二是</w:t>
      </w:r>
      <w:r>
        <w:rPr>
          <w:rFonts w:hint="eastAsia" w:ascii="仿宋_GB2312" w:eastAsia="仿宋_GB2312" w:cs="Times New Roman"/>
          <w:color w:val="000000"/>
          <w:sz w:val="32"/>
          <w:szCs w:val="32"/>
        </w:rPr>
        <w:t>与下一年度预算安排结合，本次自评结果作为下一年度预算的重要依据；</w:t>
      </w:r>
      <w:r>
        <w:rPr>
          <w:rFonts w:hint="eastAsia" w:ascii="仿宋_GB2312" w:eastAsia="仿宋_GB2312" w:cs="Times New Roman"/>
          <w:b/>
          <w:bCs/>
          <w:color w:val="000000"/>
          <w:sz w:val="32"/>
          <w:szCs w:val="32"/>
        </w:rPr>
        <w:t>三是</w:t>
      </w:r>
      <w:r>
        <w:rPr>
          <w:rFonts w:hint="eastAsia" w:ascii="仿宋_GB2312" w:eastAsia="仿宋_GB2312" w:cs="Times New Roman"/>
          <w:color w:val="000000"/>
          <w:sz w:val="32"/>
          <w:szCs w:val="32"/>
        </w:rPr>
        <w:t>及时总结经验，改进管理措施，完善工作机制，有效提高资金管理水平和使用效率，确保项目按既定要求完成，及时发挥财政资金效能。</w:t>
      </w:r>
    </w:p>
    <w:p>
      <w:pPr>
        <w:numPr>
          <w:ilvl w:val="0"/>
          <w:numId w:val="0"/>
        </w:num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1"/>
        <w:rPr>
          <w:rFonts w:ascii="仿宋_GB2312" w:eastAsia="仿宋_GB2312"/>
          <w:color w:val="000000"/>
          <w:sz w:val="32"/>
          <w:szCs w:val="32"/>
        </w:rPr>
      </w:pPr>
      <w:r>
        <w:rPr>
          <w:rFonts w:hint="eastAsia" w:ascii="黑体" w:eastAsia="黑体"/>
          <w:b w:val="0"/>
          <w:color w:val="000000"/>
          <w:sz w:val="32"/>
          <w:szCs w:val="32"/>
          <w:lang w:eastAsia="zh-CN"/>
        </w:rPr>
        <w:t>四、</w:t>
      </w:r>
      <w:r>
        <w:rPr>
          <w:rFonts w:hint="eastAsia" w:ascii="黑体" w:eastAsia="黑体"/>
          <w:b w:val="0"/>
          <w:color w:val="000000"/>
          <w:sz w:val="32"/>
          <w:szCs w:val="32"/>
        </w:rPr>
        <w:t>其他需要说明的问题</w:t>
      </w:r>
    </w:p>
    <w:p>
      <w:pPr>
        <w:numPr>
          <w:ilvl w:val="0"/>
          <w:numId w:val="0"/>
        </w:num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1"/>
        <w:rPr>
          <w:rFonts w:hint="eastAsia" w:ascii="仿宋_GB2312" w:eastAsia="仿宋_GB2312"/>
          <w:color w:val="000000"/>
          <w:sz w:val="32"/>
          <w:szCs w:val="32"/>
        </w:rPr>
      </w:pPr>
      <w:r>
        <w:rPr>
          <w:rFonts w:hint="eastAsia" w:ascii="仿宋_GB2312" w:eastAsia="仿宋_GB2312"/>
          <w:color w:val="000000"/>
          <w:sz w:val="32"/>
          <w:szCs w:val="32"/>
        </w:rPr>
        <w:t>无。</w:t>
      </w:r>
    </w:p>
    <w:p>
      <w:pPr>
        <w:numPr>
          <w:ilvl w:val="0"/>
          <w:numId w:val="0"/>
        </w:num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1"/>
        <w:rPr>
          <w:rFonts w:hint="eastAsia" w:ascii="黑体" w:eastAsia="黑体" w:cs="Times New Roman"/>
          <w:sz w:val="32"/>
          <w:szCs w:val="32"/>
        </w:rPr>
      </w:pPr>
      <w:r>
        <w:rPr>
          <w:rFonts w:hint="eastAsia" w:ascii="黑体" w:eastAsia="黑体" w:cs="Times New Roman"/>
          <w:sz w:val="32"/>
          <w:szCs w:val="32"/>
          <w:lang w:eastAsia="zh-CN"/>
        </w:rPr>
        <w:t>五</w:t>
      </w:r>
      <w:r>
        <w:rPr>
          <w:rFonts w:hint="eastAsia" w:ascii="黑体" w:eastAsia="黑体" w:cs="Times New Roman"/>
          <w:sz w:val="32"/>
          <w:szCs w:val="32"/>
        </w:rPr>
        <w:t>、附表</w:t>
      </w:r>
    </w:p>
    <w:p>
      <w:pPr>
        <w:numPr>
          <w:ilvl w:val="0"/>
          <w:numId w:val="0"/>
        </w:num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1"/>
        <w:rPr>
          <w:rFonts w:hint="eastAsia" w:ascii="仿宋_GB2312" w:eastAsia="仿宋_GB2312"/>
          <w:color w:val="000000"/>
          <w:sz w:val="32"/>
          <w:szCs w:val="32"/>
        </w:rPr>
      </w:pPr>
      <w:r>
        <w:rPr>
          <w:rFonts w:hint="eastAsia" w:ascii="仿宋_GB2312" w:eastAsia="仿宋_GB2312"/>
          <w:color w:val="000000"/>
          <w:sz w:val="32"/>
          <w:szCs w:val="32"/>
        </w:rPr>
        <w:t>附表</w:t>
      </w:r>
      <w:r>
        <w:rPr>
          <w:rFonts w:ascii="仿宋_GB2312" w:eastAsia="仿宋_GB2312"/>
          <w:color w:val="000000"/>
          <w:sz w:val="32"/>
          <w:szCs w:val="32"/>
        </w:rPr>
        <w:t>:</w:t>
      </w:r>
      <w:r>
        <w:rPr>
          <w:rFonts w:hint="eastAsia" w:ascii="仿宋_GB2312" w:eastAsia="仿宋_GB2312"/>
          <w:color w:val="000000"/>
          <w:sz w:val="32"/>
          <w:szCs w:val="32"/>
        </w:rPr>
        <w:t>贵州省农村环境整治资金转移支付区域（项目）绩效自评表</w:t>
      </w:r>
    </w:p>
    <w:p>
      <w:pPr>
        <w:ind w:left="1490" w:leftChars="100" w:hanging="1280" w:hangingChars="400"/>
        <w:rPr>
          <w:rFonts w:ascii="仿宋_GB2312" w:eastAsia="仿宋_GB2312"/>
          <w:color w:val="000000"/>
          <w:sz w:val="32"/>
          <w:szCs w:val="32"/>
        </w:rPr>
        <w:sectPr>
          <w:footerReference r:id="rId3" w:type="default"/>
          <w:pgSz w:w="11906" w:h="16838"/>
          <w:pgMar w:top="2098" w:right="1474" w:bottom="1984" w:left="1587" w:header="851" w:footer="992" w:gutter="0"/>
          <w:cols w:space="720" w:num="1"/>
          <w:docGrid w:type="lines" w:linePitch="312" w:charSpace="0"/>
        </w:sectPr>
      </w:pPr>
    </w:p>
    <w:p>
      <w:pPr>
        <w:widowControl/>
        <w:spacing w:line="560" w:lineRule="exact"/>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附表</w:t>
      </w:r>
    </w:p>
    <w:tbl>
      <w:tblPr>
        <w:tblStyle w:val="15"/>
        <w:tblW w:w="141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1080"/>
        <w:gridCol w:w="1080"/>
        <w:gridCol w:w="1080"/>
        <w:gridCol w:w="1928"/>
        <w:gridCol w:w="1080"/>
        <w:gridCol w:w="3493"/>
        <w:gridCol w:w="1275"/>
        <w:gridCol w:w="1275"/>
        <w:gridCol w:w="18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0" w:hRule="atLeast"/>
        </w:trPr>
        <w:tc>
          <w:tcPr>
            <w:tcW w:w="14174"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6"/>
                <w:szCs w:val="36"/>
                <w:u w:val="none"/>
              </w:rPr>
            </w:pPr>
            <w:r>
              <w:rPr>
                <w:rFonts w:hint="default" w:ascii="Times New Roman" w:hAnsi="Times New Roman" w:eastAsia="宋体" w:cs="Times New Roman"/>
                <w:b/>
                <w:bCs/>
                <w:i w:val="0"/>
                <w:iCs w:val="0"/>
                <w:color w:val="000000"/>
                <w:kern w:val="0"/>
                <w:sz w:val="36"/>
                <w:szCs w:val="36"/>
                <w:u w:val="none"/>
                <w:lang w:val="en-US" w:eastAsia="zh-CN" w:bidi="ar"/>
              </w:rPr>
              <w:t>贵州省农村环境整治资金转移支付区域（项目）绩效自评表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4174"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转移支付（项目）名称</w:t>
            </w:r>
          </w:p>
        </w:tc>
        <w:tc>
          <w:tcPr>
            <w:tcW w:w="109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2024年农村环境整治资金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中央主管部门</w:t>
            </w:r>
          </w:p>
        </w:tc>
        <w:tc>
          <w:tcPr>
            <w:tcW w:w="109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财政部、生态环境部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80" w:hRule="atLeast"/>
        </w:trPr>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地方主管部门</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贵州省财政厅、贵州省生态环境厅</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资金使用单位</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各级生态环境部门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80" w:hRule="atLeast"/>
        </w:trPr>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资金投入情况                 </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（万元）</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年度资金总额：</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全年预算数（A）</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全年执行数（B）</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预算执行率</w:t>
            </w:r>
          </w:p>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其中：中央财政资金</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4392</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1370.65</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地方财政资金</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eastAsia="宋体" w:cs="Times New Roman"/>
                <w:i w:val="0"/>
                <w:iCs w:val="0"/>
                <w:color w:val="000000"/>
                <w:kern w:val="0"/>
                <w:sz w:val="20"/>
                <w:szCs w:val="20"/>
                <w:u w:val="none"/>
                <w:lang w:val="en-US" w:eastAsia="zh-CN" w:bidi="ar"/>
              </w:rPr>
              <w:t>1081.11</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其他资金</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800" w:hRule="atLeast"/>
        </w:trPr>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资金管理情况</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情况说明</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80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分配科学性</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收到农村环境整治资金后，围绕国家和省生态环境保护重大规划、计划和打好污染防治攻坚战核心任务，按照“资金跟着项目走，突出重点、改善民生”的原则，厅相关业务处（室）研究提出项目细化和资金分配建议，报厅党委研究审议并经省级人民政府同意后，按程序会商省财政厅下达资金预算。</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64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下达及时性</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按照预算法及其实施条例，第一批资金于2023年12月14日分解下达，第二批资金于2024年7月26日分解下达。</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第一批在30天内分解下达；第二批未在30天内分解下达。针对预算下达不及时，进一步加强项目储备库建设，提升项目入库数量和质量，提高项目提级论证通过率，按照生态环境部要求，做好项目审核和入库工作，提高项目分配效率，及时分解下达预算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80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拨付合规性</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严格按照国库集中支付制度有关规定支付资金</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80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使用规范性</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严格按照下达预算的科目和项目执行</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80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执行准确性</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按照上级下达和本级预算安排的金额执行</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80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预算绩效管理情况</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下达预算时同步下达绩效目标，并组织开展现场督察、重点绩效评价（监控）</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06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支出责任履行情况</w:t>
            </w:r>
          </w:p>
        </w:tc>
        <w:tc>
          <w:tcPr>
            <w:tcW w:w="45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落实生态环境领域财政事权和支出责任，压实地方责任，引导地方加大生态环境保护投入力度，明确申报中央生态环境资金项目配套比例和金额。</w:t>
            </w:r>
          </w:p>
        </w:tc>
        <w:tc>
          <w:tcPr>
            <w:tcW w:w="4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总体目标完成情况</w:t>
            </w:r>
          </w:p>
        </w:tc>
        <w:tc>
          <w:tcPr>
            <w:tcW w:w="40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总体目标</w:t>
            </w:r>
          </w:p>
        </w:tc>
        <w:tc>
          <w:tcPr>
            <w:tcW w:w="90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40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推动不少于40个行政村完成农村环境整治，全省农村生活污水治理(管控)率达24.4%。</w:t>
            </w:r>
          </w:p>
        </w:tc>
        <w:tc>
          <w:tcPr>
            <w:tcW w:w="90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2024年支持完成环境整治的行政村数量40个行政村，新增农村生活污水处理能力≥1485(吨/日)。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绩效指标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二级指标</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指标值</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全年实际完成值</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数量指标</w:t>
            </w:r>
          </w:p>
        </w:tc>
        <w:tc>
          <w:tcPr>
            <w:tcW w:w="192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支持完成环境整治的行政村数量（个）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新增农村生活污水处理能力（吨/日）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≥1485</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质量指标</w:t>
            </w:r>
          </w:p>
        </w:tc>
        <w:tc>
          <w:tcPr>
            <w:tcW w:w="192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完工项目验收</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8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经过整治的村庄，满足“三基本”要求的比例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883" w:type="dxa"/>
            <w:tcBorders>
              <w:top w:val="single" w:color="000000" w:sz="4" w:space="0"/>
              <w:left w:val="nil"/>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时效指标</w:t>
            </w:r>
          </w:p>
        </w:tc>
        <w:tc>
          <w:tcPr>
            <w:tcW w:w="192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开工率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66.67%</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完工率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按序推进</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FF"/>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生态效益指标</w:t>
            </w:r>
          </w:p>
        </w:tc>
        <w:tc>
          <w:tcPr>
            <w:tcW w:w="192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农村生活污水治理（管控）率（%）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24.40%</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55.80%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92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可持续影响指标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lang w:val="en-US"/>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满意度指标</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服务对象满意度指标</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41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说明：无。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000" w:hRule="atLeast"/>
        </w:trPr>
        <w:tc>
          <w:tcPr>
            <w:tcW w:w="141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注:1.资金使用单位按项目绩效目标填报，主管部门汇总时按区域绩效目标填报。</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   2.其他资金包括与中央财政资金、地方财政资金共同投入到同一项目的自有资金、社会资金，以及以前年度的结转结余资金等。</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   3.全年执行数是指按照国库集中支付制度要求所形成的实际支出。</w:t>
            </w:r>
          </w:p>
        </w:tc>
      </w:tr>
    </w:tbl>
    <w:p>
      <w:pPr>
        <w:rPr>
          <w:color w:val="FF0000"/>
        </w:rPr>
      </w:pPr>
    </w:p>
    <w:sectPr>
      <w:pgSz w:w="16838" w:h="11906" w:orient="landscape"/>
      <w:pgMar w:top="1797" w:right="1440" w:bottom="1797"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Tahoma">
    <w:altName w:val="DejaVu Sans"/>
    <w:panose1 w:val="020B0604030504040204"/>
    <w:charset w:val="00"/>
    <w:family w:val="swiss"/>
    <w:pitch w:val="default"/>
    <w:sig w:usb0="00000000" w:usb1="00000000" w:usb2="00000029"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6761343"/>
    </w:sdtPr>
    <w:sdtEndPr>
      <w:rPr>
        <w:rFonts w:ascii="宋体" w:eastAsia="宋体"/>
        <w:sz w:val="24"/>
        <w:szCs w:val="24"/>
      </w:rPr>
    </w:sdtEndPr>
    <w:sdtContent>
      <w:p>
        <w:pPr>
          <w:pStyle w:val="28"/>
          <w:jc w:val="center"/>
          <w:rPr>
            <w:rFonts w:ascii="宋体" w:eastAsia="宋体"/>
            <w:sz w:val="24"/>
            <w:szCs w:val="24"/>
          </w:rPr>
        </w:pPr>
        <w:r>
          <w:rPr>
            <w:rFonts w:ascii="宋体" w:eastAsia="宋体"/>
            <w:sz w:val="24"/>
            <w:szCs w:val="24"/>
          </w:rPr>
          <w:fldChar w:fldCharType="begin"/>
        </w:r>
        <w:r>
          <w:rPr>
            <w:rFonts w:ascii="宋体" w:eastAsia="宋体"/>
            <w:sz w:val="24"/>
            <w:szCs w:val="24"/>
          </w:rPr>
          <w:instrText xml:space="preserve">PAGE   \* MERGEFORMAT</w:instrText>
        </w:r>
        <w:r>
          <w:rPr>
            <w:rFonts w:ascii="宋体" w:eastAsia="宋体"/>
            <w:sz w:val="24"/>
            <w:szCs w:val="24"/>
          </w:rPr>
          <w:fldChar w:fldCharType="separate"/>
        </w:r>
        <w:r>
          <w:rPr>
            <w:rFonts w:ascii="宋体" w:eastAsia="宋体"/>
            <w:sz w:val="24"/>
            <w:szCs w:val="24"/>
            <w:lang w:val="zh-CN"/>
          </w:rPr>
          <w:t>21</w:t>
        </w:r>
        <w:r>
          <w:rPr>
            <w:rFonts w:ascii="宋体" w:eastAsia="宋体"/>
            <w:sz w:val="24"/>
            <w:szCs w:val="24"/>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F344DE"/>
    <w:multiLevelType w:val="singleLevel"/>
    <w:tmpl w:val="74F344D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compatSetting w:name="compatibilityMode" w:uri="http://schemas.microsoft.com/office/word" w:val="15"/>
  </w:compat>
  <w:docVars>
    <w:docVar w:name="commondata" w:val="eyJoZGlkIjoiYWVkNTQ0NTJlMjdiYTYyMzQxMWEyNDMxN2YwOTk0OWUifQ=="/>
  </w:docVars>
  <w:rsids>
    <w:rsidRoot w:val="00000000"/>
    <w:rsid w:val="09FC6C3A"/>
    <w:rsid w:val="0CB1211B"/>
    <w:rsid w:val="102F6653"/>
    <w:rsid w:val="11274EE5"/>
    <w:rsid w:val="11421D1E"/>
    <w:rsid w:val="11BF511D"/>
    <w:rsid w:val="12B32037"/>
    <w:rsid w:val="1704307D"/>
    <w:rsid w:val="175956CC"/>
    <w:rsid w:val="1EE91A2B"/>
    <w:rsid w:val="20126D60"/>
    <w:rsid w:val="21A0152A"/>
    <w:rsid w:val="2D3A16A4"/>
    <w:rsid w:val="30CB374C"/>
    <w:rsid w:val="323B2146"/>
    <w:rsid w:val="335334BF"/>
    <w:rsid w:val="36AB2277"/>
    <w:rsid w:val="36F06DDE"/>
    <w:rsid w:val="37FF824D"/>
    <w:rsid w:val="3B183024"/>
    <w:rsid w:val="3C302909"/>
    <w:rsid w:val="408F1FDB"/>
    <w:rsid w:val="417D28E8"/>
    <w:rsid w:val="422B40FE"/>
    <w:rsid w:val="446217B4"/>
    <w:rsid w:val="446C52C8"/>
    <w:rsid w:val="45805561"/>
    <w:rsid w:val="496438D9"/>
    <w:rsid w:val="499762F0"/>
    <w:rsid w:val="49E62540"/>
    <w:rsid w:val="4BB548C0"/>
    <w:rsid w:val="4BC007EC"/>
    <w:rsid w:val="4D5B2F0C"/>
    <w:rsid w:val="4D9C630A"/>
    <w:rsid w:val="4E720846"/>
    <w:rsid w:val="4F332C5B"/>
    <w:rsid w:val="534B12C8"/>
    <w:rsid w:val="548B08B3"/>
    <w:rsid w:val="5503669C"/>
    <w:rsid w:val="55944102"/>
    <w:rsid w:val="57405985"/>
    <w:rsid w:val="5955574A"/>
    <w:rsid w:val="5A3E35B0"/>
    <w:rsid w:val="5BBDD98D"/>
    <w:rsid w:val="5CBA7F88"/>
    <w:rsid w:val="5D3510F1"/>
    <w:rsid w:val="5EA73388"/>
    <w:rsid w:val="5FFCCFD1"/>
    <w:rsid w:val="633F2F95"/>
    <w:rsid w:val="65282352"/>
    <w:rsid w:val="688574C7"/>
    <w:rsid w:val="6B34156D"/>
    <w:rsid w:val="6B786D16"/>
    <w:rsid w:val="6BF33A35"/>
    <w:rsid w:val="6CFAD903"/>
    <w:rsid w:val="6D7C6B93"/>
    <w:rsid w:val="70DEEFA7"/>
    <w:rsid w:val="733C4DFB"/>
    <w:rsid w:val="73D9E30C"/>
    <w:rsid w:val="766F54E7"/>
    <w:rsid w:val="76F7A632"/>
    <w:rsid w:val="7B7D3125"/>
    <w:rsid w:val="7B7FBD9F"/>
    <w:rsid w:val="7B9FC693"/>
    <w:rsid w:val="7BCB58BB"/>
    <w:rsid w:val="7CA60690"/>
    <w:rsid w:val="7DC45C11"/>
    <w:rsid w:val="96FD2516"/>
    <w:rsid w:val="99DF693F"/>
    <w:rsid w:val="9F7F0DA1"/>
    <w:rsid w:val="AD9E7DCF"/>
    <w:rsid w:val="BD610947"/>
    <w:rsid w:val="BF6F0CFC"/>
    <w:rsid w:val="CB6FE650"/>
    <w:rsid w:val="CBFC37AE"/>
    <w:rsid w:val="D37A41FD"/>
    <w:rsid w:val="D53E20C7"/>
    <w:rsid w:val="DEAFB60D"/>
    <w:rsid w:val="E7B3E8EB"/>
    <w:rsid w:val="F5A3B0D3"/>
    <w:rsid w:val="F7EEC644"/>
    <w:rsid w:val="FBBF6216"/>
    <w:rsid w:val="FBCBCE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Times New Roman" w:eastAsia="等线" w:cs="Arial"/>
      <w:kern w:val="2"/>
      <w:sz w:val="21"/>
      <w:szCs w:val="22"/>
      <w:lang w:val="en-US" w:eastAsia="zh-CN" w:bidi="ar-SA"/>
    </w:rPr>
  </w:style>
  <w:style w:type="paragraph" w:styleId="2">
    <w:name w:val="heading 1"/>
    <w:basedOn w:val="1"/>
    <w:next w:val="1"/>
    <w:qFormat/>
    <w:uiPriority w:val="0"/>
    <w:pPr>
      <w:keepNext/>
      <w:keepLines/>
      <w:widowControl/>
      <w:adjustRightInd w:val="0"/>
      <w:snapToGrid w:val="0"/>
      <w:spacing w:before="340" w:after="330" w:line="578" w:lineRule="auto"/>
      <w:jc w:val="left"/>
      <w:outlineLvl w:val="0"/>
    </w:pPr>
    <w:rPr>
      <w:rFonts w:ascii="Tahoma" w:hAnsi="Tahoma" w:eastAsia="微软雅黑"/>
      <w:b/>
      <w:bCs/>
      <w:kern w:val="44"/>
      <w:sz w:val="44"/>
      <w:szCs w:val="44"/>
    </w:rPr>
  </w:style>
  <w:style w:type="paragraph" w:styleId="3">
    <w:name w:val="heading 2"/>
    <w:basedOn w:val="1"/>
    <w:next w:val="1"/>
    <w:qFormat/>
    <w:uiPriority w:val="0"/>
    <w:pPr>
      <w:keepNext/>
      <w:keepLines/>
      <w:widowControl w:val="0"/>
      <w:spacing w:before="260" w:after="260" w:line="415" w:lineRule="auto"/>
      <w:outlineLvl w:val="1"/>
    </w:pPr>
    <w:rPr>
      <w:rFonts w:ascii="Cambria" w:hAnsi="Cambria" w:eastAsia="宋体" w:cs="Times New Roman"/>
      <w:b/>
      <w:bCs/>
      <w:kern w:val="0"/>
      <w:sz w:val="32"/>
      <w:szCs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16">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widowControl/>
      <w:adjustRightInd w:val="0"/>
      <w:snapToGrid w:val="0"/>
      <w:spacing w:after="200"/>
      <w:jc w:val="left"/>
    </w:pPr>
    <w:rPr>
      <w:rFonts w:ascii="Tahoma" w:hAnsi="Tahoma" w:eastAsia="微软雅黑"/>
      <w:kern w:val="0"/>
      <w:sz w:val="22"/>
    </w:rPr>
  </w:style>
  <w:style w:type="paragraph" w:styleId="6">
    <w:name w:val="Body Text Indent"/>
    <w:basedOn w:val="1"/>
    <w:qFormat/>
    <w:uiPriority w:val="0"/>
    <w:pPr>
      <w:widowControl/>
      <w:adjustRightInd w:val="0"/>
      <w:snapToGrid w:val="0"/>
      <w:spacing w:after="120"/>
      <w:ind w:left="200" w:leftChars="200"/>
      <w:jc w:val="left"/>
    </w:pPr>
    <w:rPr>
      <w:rFonts w:ascii="Tahoma" w:hAnsi="Tahoma" w:eastAsia="微软雅黑"/>
      <w:kern w:val="0"/>
      <w:sz w:val="22"/>
    </w:rPr>
  </w:style>
  <w:style w:type="paragraph" w:styleId="7">
    <w:name w:val="Date"/>
    <w:basedOn w:val="1"/>
    <w:next w:val="1"/>
    <w:qFormat/>
    <w:uiPriority w:val="0"/>
    <w:pPr>
      <w:ind w:left="2500" w:leftChars="2500"/>
    </w:pPr>
  </w:style>
  <w:style w:type="paragraph" w:styleId="8">
    <w:name w:val="endnote text"/>
    <w:basedOn w:val="1"/>
    <w:qFormat/>
    <w:uiPriority w:val="0"/>
    <w:pPr>
      <w:snapToGrid w:val="0"/>
      <w:jc w:val="left"/>
    </w:pPr>
  </w:style>
  <w:style w:type="paragraph" w:styleId="9">
    <w:name w:val="Balloon Text"/>
    <w:basedOn w:val="1"/>
    <w:qFormat/>
    <w:uiPriority w:val="0"/>
    <w:pPr>
      <w:widowControl/>
      <w:adjustRightInd w:val="0"/>
      <w:snapToGrid w:val="0"/>
      <w:jc w:val="left"/>
    </w:pPr>
    <w:rPr>
      <w:rFonts w:ascii="Tahoma" w:hAnsi="Tahoma" w:eastAsia="微软雅黑"/>
      <w:kern w:val="0"/>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widowControl/>
      <w:spacing w:before="100" w:beforeAutospacing="1" w:after="100" w:afterAutospacing="1"/>
      <w:jc w:val="left"/>
    </w:pPr>
    <w:rPr>
      <w:rFonts w:ascii="宋体" w:eastAsia="宋体" w:cs="宋体"/>
      <w:kern w:val="0"/>
      <w:sz w:val="24"/>
      <w:szCs w:val="24"/>
    </w:rPr>
  </w:style>
  <w:style w:type="paragraph" w:styleId="13">
    <w:name w:val="annotation subject"/>
    <w:basedOn w:val="5"/>
    <w:next w:val="5"/>
    <w:qFormat/>
    <w:uiPriority w:val="0"/>
    <w:rPr>
      <w:b/>
      <w:bCs/>
    </w:rPr>
  </w:style>
  <w:style w:type="paragraph" w:styleId="14">
    <w:name w:val="Body Text First Indent 2"/>
    <w:basedOn w:val="6"/>
    <w:qFormat/>
    <w:uiPriority w:val="0"/>
    <w:pPr>
      <w:widowControl w:val="0"/>
      <w:adjustRightInd/>
      <w:snapToGrid/>
      <w:spacing w:after="0" w:line="357" w:lineRule="atLeast"/>
      <w:ind w:firstLine="420"/>
      <w:jc w:val="both"/>
      <w:textAlignment w:val="baseline"/>
    </w:pPr>
    <w:rPr>
      <w:rFonts w:ascii="仿宋_GB2312" w:eastAsia="仿宋_GB2312" w:cs="仿宋_GB2312"/>
      <w:color w:val="000000"/>
      <w:kern w:val="2"/>
      <w:sz w:val="30"/>
      <w:szCs w:val="30"/>
    </w:rPr>
  </w:style>
  <w:style w:type="character" w:styleId="17">
    <w:name w:val="Strong"/>
    <w:basedOn w:val="16"/>
    <w:qFormat/>
    <w:uiPriority w:val="0"/>
    <w:rPr>
      <w:b/>
    </w:rPr>
  </w:style>
  <w:style w:type="character" w:styleId="18">
    <w:name w:val="FollowedHyperlink"/>
    <w:basedOn w:val="16"/>
    <w:qFormat/>
    <w:uiPriority w:val="0"/>
    <w:rPr>
      <w:rFonts w:ascii="微软雅黑" w:eastAsia="微软雅黑" w:cs="微软雅黑"/>
      <w:color w:val="333333"/>
      <w:u w:val="none"/>
    </w:rPr>
  </w:style>
  <w:style w:type="character" w:styleId="19">
    <w:name w:val="Emphasis"/>
    <w:basedOn w:val="16"/>
    <w:qFormat/>
    <w:uiPriority w:val="0"/>
  </w:style>
  <w:style w:type="character" w:styleId="20">
    <w:name w:val="HTML Definition"/>
    <w:basedOn w:val="16"/>
    <w:qFormat/>
    <w:uiPriority w:val="0"/>
  </w:style>
  <w:style w:type="character" w:styleId="21">
    <w:name w:val="HTML Variable"/>
    <w:basedOn w:val="16"/>
    <w:qFormat/>
    <w:uiPriority w:val="0"/>
  </w:style>
  <w:style w:type="character" w:styleId="22">
    <w:name w:val="Hyperlink"/>
    <w:basedOn w:val="16"/>
    <w:qFormat/>
    <w:uiPriority w:val="0"/>
    <w:rPr>
      <w:rFonts w:ascii="微软雅黑" w:eastAsia="微软雅黑" w:cs="微软雅黑"/>
      <w:color w:val="333333"/>
      <w:u w:val="none"/>
    </w:rPr>
  </w:style>
  <w:style w:type="character" w:styleId="23">
    <w:name w:val="HTML Code"/>
    <w:basedOn w:val="16"/>
    <w:qFormat/>
    <w:uiPriority w:val="0"/>
    <w:rPr>
      <w:rFonts w:ascii="Courier New" w:hAnsi="Courier New"/>
      <w:sz w:val="20"/>
    </w:rPr>
  </w:style>
  <w:style w:type="character" w:styleId="24">
    <w:name w:val="annotation reference"/>
    <w:basedOn w:val="16"/>
    <w:qFormat/>
    <w:uiPriority w:val="0"/>
    <w:rPr>
      <w:sz w:val="21"/>
      <w:szCs w:val="21"/>
    </w:rPr>
  </w:style>
  <w:style w:type="character" w:styleId="25">
    <w:name w:val="HTML Cite"/>
    <w:basedOn w:val="16"/>
    <w:qFormat/>
    <w:uiPriority w:val="0"/>
  </w:style>
  <w:style w:type="paragraph" w:customStyle="1" w:styleId="26">
    <w:name w:val="标题 21"/>
    <w:basedOn w:val="1"/>
    <w:next w:val="1"/>
    <w:qFormat/>
    <w:uiPriority w:val="0"/>
    <w:pPr>
      <w:keepNext/>
      <w:keepLines/>
      <w:widowControl/>
      <w:adjustRightInd w:val="0"/>
      <w:snapToGrid w:val="0"/>
      <w:spacing w:before="260" w:after="260" w:line="415" w:lineRule="auto"/>
      <w:jc w:val="left"/>
      <w:outlineLvl w:val="1"/>
    </w:pPr>
    <w:rPr>
      <w:rFonts w:ascii="Cambria" w:hAnsi="Cambria" w:eastAsia="宋体" w:cs="Times New Roman"/>
      <w:b/>
      <w:bCs/>
      <w:kern w:val="0"/>
      <w:sz w:val="32"/>
      <w:szCs w:val="32"/>
    </w:rPr>
  </w:style>
  <w:style w:type="paragraph" w:customStyle="1" w:styleId="27">
    <w:name w:val="_Style 1"/>
    <w:qFormat/>
    <w:uiPriority w:val="0"/>
    <w:pPr>
      <w:widowControl w:val="0"/>
      <w:jc w:val="both"/>
    </w:pPr>
    <w:rPr>
      <w:rFonts w:ascii="Times New Roman" w:hAnsi="Times New Roman" w:eastAsia="宋体" w:cs="Times New Roman"/>
      <w:kern w:val="2"/>
      <w:sz w:val="28"/>
      <w:szCs w:val="28"/>
      <w:lang w:val="en-US" w:eastAsia="zh-CN" w:bidi="ar-SA"/>
    </w:rPr>
  </w:style>
  <w:style w:type="paragraph" w:customStyle="1" w:styleId="28">
    <w:name w:val="页脚1"/>
    <w:basedOn w:val="1"/>
    <w:next w:val="10"/>
    <w:qFormat/>
    <w:uiPriority w:val="0"/>
    <w:pPr>
      <w:tabs>
        <w:tab w:val="center" w:pos="4153"/>
        <w:tab w:val="right" w:pos="8306"/>
      </w:tabs>
      <w:snapToGrid w:val="0"/>
      <w:jc w:val="left"/>
    </w:pPr>
    <w:rPr>
      <w:sz w:val="18"/>
      <w:szCs w:val="18"/>
    </w:rPr>
  </w:style>
  <w:style w:type="paragraph" w:customStyle="1" w:styleId="29">
    <w:name w:val="页眉1"/>
    <w:basedOn w:val="1"/>
    <w:next w:val="11"/>
    <w:qFormat/>
    <w:uiPriority w:val="0"/>
    <w:pPr>
      <w:pBdr>
        <w:bottom w:val="single" w:color="auto" w:sz="6" w:space="1"/>
      </w:pBdr>
      <w:tabs>
        <w:tab w:val="center" w:pos="4153"/>
        <w:tab w:val="right" w:pos="8306"/>
      </w:tabs>
      <w:snapToGrid w:val="0"/>
      <w:jc w:val="center"/>
    </w:pPr>
    <w:rPr>
      <w:sz w:val="18"/>
      <w:szCs w:val="18"/>
    </w:rPr>
  </w:style>
  <w:style w:type="character" w:customStyle="1" w:styleId="30">
    <w:name w:val="标题 2 字符1"/>
    <w:basedOn w:val="16"/>
    <w:qFormat/>
    <w:uiPriority w:val="0"/>
    <w:rPr>
      <w:rFonts w:ascii="等线 Light" w:eastAsia="等线 Light" w:cs="Times New Roman"/>
      <w:b/>
      <w:bCs/>
      <w:sz w:val="32"/>
      <w:szCs w:val="32"/>
    </w:rPr>
  </w:style>
  <w:style w:type="character" w:customStyle="1" w:styleId="31">
    <w:name w:val="layui-this"/>
    <w:basedOn w:val="16"/>
    <w:qFormat/>
    <w:uiPriority w:val="0"/>
    <w:rPr>
      <w:bdr w:val="single" w:color="EEEEEE" w:sz="6" w:space="0"/>
      <w:shd w:val="clear" w:color="auto" w:fill="FFFFFF"/>
    </w:rPr>
  </w:style>
  <w:style w:type="character" w:customStyle="1" w:styleId="32">
    <w:name w:val="first-child"/>
    <w:basedOn w:val="16"/>
    <w:qFormat/>
    <w:uiPriority w:val="0"/>
  </w:style>
  <w:style w:type="character" w:customStyle="1" w:styleId="33">
    <w:name w:val="ivu-radio+*"/>
    <w:basedOn w:val="16"/>
    <w:qFormat/>
    <w:uiPriority w:val="0"/>
  </w:style>
  <w:style w:type="character" w:customStyle="1" w:styleId="34">
    <w:name w:val="ivu-date-picker-cells-cell"/>
    <w:basedOn w:val="16"/>
    <w:qFormat/>
    <w:uiPriority w:val="0"/>
  </w:style>
  <w:style w:type="character" w:customStyle="1" w:styleId="35">
    <w:name w:val="ui-state-disabled"/>
    <w:basedOn w:val="16"/>
    <w:qFormat/>
    <w:uiPriority w:val="0"/>
  </w:style>
  <w:style w:type="character" w:customStyle="1" w:styleId="36">
    <w:name w:val="cur"/>
    <w:basedOn w:val="16"/>
    <w:qFormat/>
    <w:uiPriority w:val="0"/>
    <w:rPr>
      <w:color w:val="C40001"/>
    </w:rPr>
  </w:style>
  <w:style w:type="character" w:customStyle="1" w:styleId="37">
    <w:name w:val="cur1"/>
    <w:basedOn w:val="16"/>
    <w:qFormat/>
    <w:uiPriority w:val="0"/>
    <w:rPr>
      <w:color w:val="C40001"/>
    </w:rPr>
  </w:style>
  <w:style w:type="character" w:customStyle="1" w:styleId="38">
    <w:name w:val="p90"/>
    <w:basedOn w:val="16"/>
    <w:qFormat/>
    <w:uiPriority w:val="0"/>
  </w:style>
  <w:style w:type="character" w:customStyle="1" w:styleId="39">
    <w:name w:val="pchide2"/>
    <w:basedOn w:val="16"/>
    <w:qFormat/>
    <w:uiPriority w:val="0"/>
    <w:rPr>
      <w:color w:val="999999"/>
    </w:rPr>
  </w:style>
  <w:style w:type="character" w:customStyle="1" w:styleId="40">
    <w:name w:val="zhankai"/>
    <w:basedOn w:val="16"/>
    <w:qFormat/>
    <w:uiPriority w:val="0"/>
  </w:style>
  <w:style w:type="character" w:customStyle="1" w:styleId="41">
    <w:name w:val="last-child"/>
    <w:basedOn w:val="16"/>
    <w:qFormat/>
    <w:uiPriority w:val="0"/>
  </w:style>
  <w:style w:type="character" w:customStyle="1" w:styleId="42">
    <w:name w:val="last-child1"/>
    <w:basedOn w:val="16"/>
    <w:qFormat/>
    <w:uiPriority w:val="0"/>
  </w:style>
  <w:style w:type="character" w:customStyle="1" w:styleId="43">
    <w:name w:val="hover9"/>
    <w:basedOn w:val="16"/>
    <w:qFormat/>
    <w:uiPriority w:val="0"/>
    <w:rPr>
      <w:color w:val="C40001"/>
    </w:rPr>
  </w:style>
  <w:style w:type="character" w:customStyle="1" w:styleId="44">
    <w:name w:val="pchide"/>
    <w:basedOn w:val="16"/>
    <w:qFormat/>
    <w:uiPriority w:val="0"/>
    <w:rPr>
      <w:color w:val="999999"/>
    </w:rPr>
  </w:style>
  <w:style w:type="character" w:customStyle="1" w:styleId="45">
    <w:name w:val="cur2"/>
    <w:basedOn w:val="16"/>
    <w:qFormat/>
    <w:uiPriority w:val="0"/>
    <w:rPr>
      <w:color w:val="C40001"/>
    </w:rPr>
  </w:style>
  <w:style w:type="character" w:customStyle="1" w:styleId="46">
    <w:name w:val="cur3"/>
    <w:basedOn w:val="16"/>
    <w:qFormat/>
    <w:uiPriority w:val="0"/>
    <w:rPr>
      <w:color w:val="C40001"/>
    </w:rPr>
  </w:style>
  <w:style w:type="character" w:customStyle="1" w:styleId="47">
    <w:name w:val="hover8"/>
    <w:basedOn w:val="16"/>
    <w:qFormat/>
    <w:uiPriority w:val="0"/>
    <w:rPr>
      <w:color w:val="C40001"/>
    </w:rPr>
  </w:style>
  <w:style w:type="character" w:customStyle="1" w:styleId="48">
    <w:name w:val="page-article"/>
    <w:basedOn w:val="16"/>
    <w:qFormat/>
    <w:uiPriority w:val="0"/>
    <w:rPr>
      <w:bdr w:val="single" w:color="146EBA" w:sz="6" w:space="0"/>
    </w:rPr>
  </w:style>
  <w:style w:type="character" w:customStyle="1" w:styleId="49">
    <w:name w:val="hover"/>
    <w:basedOn w:val="16"/>
    <w:qFormat/>
    <w:uiPriority w:val="0"/>
    <w:rPr>
      <w:color w:val="015293"/>
    </w:rPr>
  </w:style>
  <w:style w:type="character" w:customStyle="1" w:styleId="50">
    <w:name w:val="m01"/>
    <w:basedOn w:val="16"/>
    <w:qFormat/>
    <w:uiPriority w:val="0"/>
  </w:style>
  <w:style w:type="character" w:customStyle="1" w:styleId="51">
    <w:name w:val="m011"/>
    <w:basedOn w:val="16"/>
    <w:qFormat/>
    <w:uiPriority w:val="0"/>
  </w:style>
  <w:style w:type="character" w:customStyle="1" w:styleId="52">
    <w:name w:val="more4"/>
    <w:basedOn w:val="16"/>
    <w:qFormat/>
    <w:uiPriority w:val="0"/>
    <w:rPr>
      <w:color w:val="666666"/>
      <w:sz w:val="18"/>
      <w:szCs w:val="18"/>
    </w:rPr>
  </w:style>
  <w:style w:type="character" w:customStyle="1" w:styleId="53">
    <w:name w:val="name"/>
    <w:basedOn w:val="16"/>
    <w:qFormat/>
    <w:uiPriority w:val="0"/>
    <w:rPr>
      <w:color w:val="6A6A6A"/>
      <w:u w:val="single"/>
    </w:rPr>
  </w:style>
  <w:style w:type="character" w:customStyle="1" w:styleId="54">
    <w:name w:val="dates"/>
    <w:basedOn w:val="16"/>
    <w:qFormat/>
    <w:uiPriority w:val="0"/>
  </w:style>
  <w:style w:type="character" w:customStyle="1" w:styleId="55">
    <w:name w:val="laypage_curr"/>
    <w:basedOn w:val="16"/>
    <w:qFormat/>
    <w:uiPriority w:val="0"/>
    <w:rPr>
      <w:color w:val="FFFDF4"/>
      <w:shd w:val="clear" w:color="auto" w:fill="0B67A6"/>
    </w:rPr>
  </w:style>
  <w:style w:type="character" w:customStyle="1" w:styleId="56">
    <w:name w:val="tabg"/>
    <w:basedOn w:val="16"/>
    <w:qFormat/>
    <w:uiPriority w:val="0"/>
    <w:rPr>
      <w:color w:val="FFFFFF"/>
      <w:sz w:val="27"/>
      <w:szCs w:val="27"/>
    </w:rPr>
  </w:style>
  <w:style w:type="character" w:customStyle="1" w:styleId="57">
    <w:name w:val="bg01"/>
    <w:basedOn w:val="16"/>
    <w:qFormat/>
    <w:uiPriority w:val="0"/>
  </w:style>
  <w:style w:type="character" w:customStyle="1" w:styleId="58">
    <w:name w:val="bg02"/>
    <w:basedOn w:val="16"/>
    <w:qFormat/>
    <w:uiPriority w:val="0"/>
  </w:style>
  <w:style w:type="character" w:customStyle="1" w:styleId="59">
    <w:name w:val="font"/>
    <w:basedOn w:val="16"/>
    <w:qFormat/>
    <w:uiPriority w:val="0"/>
  </w:style>
  <w:style w:type="character" w:customStyle="1" w:styleId="60">
    <w:name w:val="font1"/>
    <w:basedOn w:val="16"/>
    <w:qFormat/>
    <w:uiPriority w:val="0"/>
  </w:style>
  <w:style w:type="character" w:customStyle="1" w:styleId="61">
    <w:name w:val="font2"/>
    <w:basedOn w:val="16"/>
    <w:qFormat/>
    <w:uiPriority w:val="0"/>
  </w:style>
  <w:style w:type="character" w:customStyle="1" w:styleId="62">
    <w:name w:val="font3"/>
    <w:basedOn w:val="16"/>
    <w:qFormat/>
    <w:uiPriority w:val="0"/>
  </w:style>
  <w:style w:type="character" w:customStyle="1" w:styleId="63">
    <w:name w:val="hover19"/>
    <w:basedOn w:val="16"/>
    <w:qFormat/>
    <w:uiPriority w:val="0"/>
    <w:rPr>
      <w:color w:val="015293"/>
    </w:rPr>
  </w:style>
  <w:style w:type="paragraph" w:styleId="64">
    <w:name w:val="List Paragraph"/>
    <w:basedOn w:val="1"/>
    <w:qFormat/>
    <w:uiPriority w:val="0"/>
    <w:pPr>
      <w:ind w:firstLine="200" w:firstLineChars="200"/>
    </w:pPr>
  </w:style>
  <w:style w:type="character" w:customStyle="1" w:styleId="65">
    <w:name w:val="font61"/>
    <w:basedOn w:val="16"/>
    <w:qFormat/>
    <w:uiPriority w:val="0"/>
    <w:rPr>
      <w:rFonts w:hint="eastAsia" w:ascii="宋体" w:hAnsi="宋体" w:eastAsia="宋体" w:cs="宋体"/>
      <w:color w:val="36363D"/>
      <w:sz w:val="20"/>
      <w:szCs w:val="20"/>
      <w:u w:val="none"/>
    </w:rPr>
  </w:style>
  <w:style w:type="character" w:customStyle="1" w:styleId="66">
    <w:name w:val="font31"/>
    <w:basedOn w:val="16"/>
    <w:qFormat/>
    <w:uiPriority w:val="0"/>
    <w:rPr>
      <w:rFonts w:hint="eastAsia" w:ascii="宋体" w:hAnsi="宋体" w:eastAsia="宋体" w:cs="宋体"/>
      <w:color w:val="36363D"/>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12</Pages>
  <Words>3970</Words>
  <Characters>4216</Characters>
  <Lines>1191</Lines>
  <Paragraphs>605</Paragraphs>
  <TotalTime>2</TotalTime>
  <ScaleCrop>false</ScaleCrop>
  <LinksUpToDate>false</LinksUpToDate>
  <CharactersWithSpaces>4222</CharactersWithSpaces>
  <Application>WPS Office_11.8.2.10624_F1E327BC-269C-435d-A152-05C5408002CA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2023-05-14T15:54:00Z</dcterms:created>
  <dc:creator>李杰</dc:creator>
  <cp:lastModifiedBy>ysgz</cp:lastModifiedBy>
  <cp:lastPrinted>2022-03-15T15:24:00Z</cp:lastPrinted>
  <dcterms:modified xsi:type="dcterms:W3CDTF">2025-08-05T09:04:57Z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CC912B29A26D4D488478816E7A64CACC_13</vt:lpwstr>
  </property>
  <property fmtid="{D5CDD505-2E9C-101B-9397-08002B2CF9AE}" pid="4" name="KSOTemplateDocerSaveRecord">
    <vt:lpwstr>eyJoZGlkIjoiYmM1ZmI4YzM5NTUyYWNiNTIzM2ZlMTY2MWZlMjc2ZWYiLCJ1c2VySWQiOiIyNTYwNjA0OCJ9</vt:lpwstr>
  </property>
</Properties>
</file>