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156" w:beforeLines="50" w:after="156" w:afterLines="50" w:line="0" w:lineRule="atLeast"/>
        <w:jc w:val="both"/>
        <w:rPr>
          <w:rFonts w:hint="eastAsia" w:ascii="方正小标宋简体" w:eastAsia="方正小标宋简体" w:cs="方正小标宋简体"/>
          <w:color w:val="auto"/>
          <w:sz w:val="44"/>
          <w:szCs w:val="44"/>
          <w:highlight w:val="none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方正小标宋简体" w:eastAsia="方正小标宋简体" w:cs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eastAsia="方正小标宋简体" w:cs="方正小标宋简体"/>
          <w:color w:val="auto"/>
          <w:sz w:val="44"/>
          <w:szCs w:val="44"/>
          <w:highlight w:val="none"/>
        </w:rPr>
        <w:t>贵州省土壤污染防治</w:t>
      </w:r>
      <w:r>
        <w:rPr>
          <w:rFonts w:ascii="方正小标宋简体" w:eastAsia="方正小标宋简体" w:cs="方正小标宋简体"/>
          <w:color w:val="auto"/>
          <w:sz w:val="44"/>
          <w:szCs w:val="44"/>
          <w:highlight w:val="none"/>
        </w:rPr>
        <w:t>资金</w:t>
      </w:r>
      <w:r>
        <w:rPr>
          <w:rFonts w:hint="eastAsia" w:ascii="方正小标宋简体" w:eastAsia="方正小标宋简体" w:cs="方正小标宋简体"/>
          <w:color w:val="auto"/>
          <w:sz w:val="44"/>
          <w:szCs w:val="44"/>
          <w:highlight w:val="none"/>
        </w:rPr>
        <w:t>转移支付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方正小标宋简体" w:eastAsia="方正小标宋简体" w:cs="方正小标宋简体"/>
          <w:color w:val="auto"/>
          <w:sz w:val="44"/>
          <w:szCs w:val="44"/>
          <w:highlight w:val="none"/>
        </w:rPr>
      </w:pPr>
      <w:r>
        <w:rPr>
          <w:rFonts w:ascii="方正小标宋简体" w:eastAsia="方正小标宋简体" w:cs="方正小标宋简体"/>
          <w:color w:val="auto"/>
          <w:sz w:val="44"/>
          <w:szCs w:val="44"/>
          <w:highlight w:val="none"/>
        </w:rPr>
        <w:t>202</w:t>
      </w:r>
      <w:r>
        <w:rPr>
          <w:rFonts w:hint="eastAsia" w:asci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4</w:t>
      </w:r>
      <w:r>
        <w:rPr>
          <w:rFonts w:ascii="方正小标宋简体" w:eastAsia="方正小标宋简体" w:cs="方正小标宋简体"/>
          <w:color w:val="auto"/>
          <w:sz w:val="44"/>
          <w:szCs w:val="44"/>
          <w:highlight w:val="none"/>
        </w:rPr>
        <w:t>年度绩效自评报告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60" w:lineRule="exact"/>
        <w:ind w:firstLine="640" w:firstLineChars="200"/>
        <w:jc w:val="both"/>
        <w:textAlignment w:val="auto"/>
        <w:rPr>
          <w:rFonts w:ascii="黑体" w:eastAsia="黑体"/>
          <w:b w:val="0"/>
          <w:color w:val="auto"/>
          <w:sz w:val="32"/>
          <w:szCs w:val="32"/>
          <w:highlight w:val="none"/>
        </w:rPr>
      </w:pP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60" w:lineRule="exact"/>
        <w:ind w:firstLine="640" w:firstLineChars="200"/>
        <w:jc w:val="both"/>
        <w:textAlignment w:val="auto"/>
        <w:rPr>
          <w:rFonts w:ascii="黑体" w:eastAsia="黑体"/>
          <w:b w:val="0"/>
          <w:color w:val="auto"/>
          <w:sz w:val="32"/>
          <w:szCs w:val="32"/>
          <w:highlight w:val="none"/>
        </w:rPr>
      </w:pPr>
      <w:r>
        <w:rPr>
          <w:rFonts w:ascii="黑体" w:eastAsia="黑体"/>
          <w:b w:val="0"/>
          <w:color w:val="auto"/>
          <w:sz w:val="32"/>
          <w:szCs w:val="32"/>
          <w:highlight w:val="none"/>
        </w:rPr>
        <w:t>一、</w:t>
      </w:r>
      <w:r>
        <w:rPr>
          <w:rFonts w:hint="eastAsia" w:ascii="黑体" w:eastAsia="黑体"/>
          <w:b w:val="0"/>
          <w:color w:val="auto"/>
          <w:sz w:val="32"/>
          <w:szCs w:val="32"/>
          <w:highlight w:val="none"/>
        </w:rPr>
        <w:t>绩效目标分解下达情况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60" w:lineRule="exact"/>
        <w:ind w:firstLine="640" w:firstLineChars="200"/>
        <w:textAlignment w:val="auto"/>
        <w:rPr>
          <w:rFonts w:ascii="Times New Roman" w:hAnsi="Times New Roman" w:eastAsia="楷体_GB2312"/>
          <w:b w:val="0"/>
          <w:color w:val="auto"/>
          <w:highlight w:val="none"/>
        </w:rPr>
      </w:pPr>
      <w:r>
        <w:rPr>
          <w:rFonts w:hint="eastAsia" w:ascii="Times New Roman" w:hAnsi="Times New Roman" w:eastAsia="楷体_GB2312"/>
          <w:b w:val="0"/>
          <w:color w:val="auto"/>
          <w:highlight w:val="none"/>
        </w:rPr>
        <w:t>（一）中央下达土壤污染防治资金转移支付预算和区域绩效目标情况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</w:rPr>
        <w:t>根据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  <w:lang w:eastAsia="zh-CN"/>
        </w:rPr>
        <w:t>《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</w:rPr>
        <w:t>财政部关于提前下达2024年度土壤污染防治资金预算的通知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  <w:lang w:eastAsia="zh-CN"/>
        </w:rPr>
        <w:t>》（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</w:rPr>
        <w:t>财资环〔2023〕112号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  <w:lang w:eastAsia="zh-CN"/>
        </w:rPr>
        <w:t>）《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</w:rPr>
        <w:t>财政部关于下达2024年土壤污染防治资金（第二批）预算的通知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  <w:lang w:eastAsia="zh-CN"/>
        </w:rPr>
        <w:t>》（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</w:rPr>
        <w:t>财资环〔2024〕63号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  <w:lang w:eastAsia="zh-CN"/>
        </w:rPr>
        <w:t>），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</w:rPr>
        <w:t>中央下达贵州省202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</w:rPr>
        <w:t>年土壤污染防治转移支付资金2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1454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</w:rPr>
        <w:t>万元，并同步下达202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</w:rPr>
        <w:t>年度区域绩效目标。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Times New Roman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</w:rPr>
        <w:t>总体目标：1.强化土壤污染源头管控；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</w:rPr>
        <w:t>推进历史遗留废渣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  <w:lang w:eastAsia="zh-CN"/>
        </w:rPr>
        <w:t>治理；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</w:rPr>
        <w:t>酸性废水排查治理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；4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</w:rPr>
        <w:t>.推进解决一批历史遗留污染问题。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60" w:lineRule="exact"/>
        <w:ind w:firstLine="640" w:firstLineChars="200"/>
        <w:textAlignment w:val="auto"/>
        <w:rPr>
          <w:rFonts w:ascii="Times New Roman" w:hAnsi="Times New Roman" w:eastAsia="楷体_GB2312"/>
          <w:b w:val="0"/>
          <w:color w:val="auto"/>
          <w:highlight w:val="none"/>
        </w:rPr>
      </w:pPr>
      <w:r>
        <w:rPr>
          <w:rFonts w:hint="eastAsia" w:ascii="Times New Roman" w:hAnsi="Times New Roman" w:eastAsia="楷体_GB2312"/>
          <w:b w:val="0"/>
          <w:color w:val="auto"/>
          <w:highlight w:val="none"/>
        </w:rPr>
        <w:t>（二）省内资金安排、分解下达预算和绩效目标情况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eastAsia="仿宋_GB2312" w:cs="Times New Roman"/>
          <w:color w:val="auto"/>
          <w:kern w:val="0"/>
          <w:sz w:val="32"/>
          <w:szCs w:val="32"/>
          <w:highlight w:val="none"/>
        </w:rPr>
      </w:pPr>
      <w:r>
        <w:rPr>
          <w:rFonts w:ascii="仿宋_GB2312" w:eastAsia="仿宋_GB2312" w:cs="Times New Roman"/>
          <w:color w:val="auto"/>
          <w:kern w:val="0"/>
          <w:sz w:val="32"/>
          <w:szCs w:val="32"/>
          <w:highlight w:val="none"/>
        </w:rPr>
        <w:t>根据中央土壤污染防治项目储备库建设情况，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</w:rPr>
        <w:t>择优确定支持项目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24</w:t>
      </w:r>
      <w:r>
        <w:rPr>
          <w:rFonts w:ascii="仿宋_GB2312" w:eastAsia="仿宋_GB2312" w:cs="Times New Roman"/>
          <w:color w:val="auto"/>
          <w:kern w:val="0"/>
          <w:sz w:val="32"/>
          <w:szCs w:val="32"/>
          <w:highlight w:val="none"/>
        </w:rPr>
        <w:t>个，经生态环境部同意后，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</w:rPr>
        <w:t>会同贵州</w:t>
      </w:r>
      <w:r>
        <w:rPr>
          <w:rFonts w:ascii="仿宋_GB2312" w:eastAsia="仿宋_GB2312" w:cs="Times New Roman"/>
          <w:color w:val="auto"/>
          <w:kern w:val="0"/>
          <w:sz w:val="32"/>
          <w:szCs w:val="32"/>
          <w:highlight w:val="none"/>
        </w:rPr>
        <w:t>省财政厅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</w:rPr>
        <w:t>下发了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  <w:lang w:eastAsia="zh-CN"/>
        </w:rPr>
        <w:t>《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</w:rPr>
        <w:t>省财政厅关于提前下达2024年中央土壤污染防治资金预算的通知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  <w:lang w:eastAsia="zh-CN"/>
        </w:rPr>
        <w:t>》（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</w:rPr>
        <w:t>黔财资环〔2023〕78号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  <w:lang w:eastAsia="zh-CN"/>
        </w:rPr>
        <w:t>）《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</w:rPr>
        <w:t>省财政厅关于下达2024年中央土壤污染防治资金（第二批）预算的通知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  <w:lang w:eastAsia="zh-CN"/>
        </w:rPr>
        <w:t>》（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</w:rPr>
        <w:t>黔财资环〔2024〕67号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  <w:lang w:eastAsia="zh-CN"/>
        </w:rPr>
        <w:t>）</w:t>
      </w:r>
      <w:r>
        <w:rPr>
          <w:rFonts w:ascii="仿宋_GB2312" w:eastAsia="仿宋_GB2312" w:cs="Times New Roman"/>
          <w:color w:val="auto"/>
          <w:kern w:val="0"/>
          <w:sz w:val="32"/>
          <w:szCs w:val="32"/>
          <w:highlight w:val="none"/>
        </w:rPr>
        <w:t>将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</w:rPr>
        <w:t>2</w:t>
      </w:r>
      <w:r>
        <w:rPr>
          <w:rFonts w:ascii="仿宋_GB2312" w:eastAsia="仿宋_GB2312" w:cs="Times New Roman"/>
          <w:color w:val="auto"/>
          <w:kern w:val="0"/>
          <w:sz w:val="32"/>
          <w:szCs w:val="32"/>
          <w:highlight w:val="none"/>
        </w:rPr>
        <w:t>02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</w:rPr>
        <w:t>年中央预算资金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21454</w:t>
      </w:r>
      <w:r>
        <w:rPr>
          <w:rFonts w:ascii="仿宋_GB2312" w:eastAsia="仿宋_GB2312" w:cs="Times New Roman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</w:rPr>
        <w:t>分解</w:t>
      </w:r>
      <w:r>
        <w:rPr>
          <w:rFonts w:ascii="仿宋_GB2312" w:eastAsia="仿宋_GB2312" w:cs="Times New Roman"/>
          <w:color w:val="auto"/>
          <w:kern w:val="0"/>
          <w:sz w:val="32"/>
          <w:szCs w:val="32"/>
          <w:highlight w:val="none"/>
        </w:rPr>
        <w:t>下达至项目所在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省本级、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</w:rPr>
        <w:t>相关</w:t>
      </w:r>
      <w:r>
        <w:rPr>
          <w:rFonts w:ascii="仿宋_GB2312" w:eastAsia="仿宋_GB2312" w:cs="Times New Roman"/>
          <w:color w:val="auto"/>
          <w:kern w:val="0"/>
          <w:sz w:val="32"/>
          <w:szCs w:val="32"/>
          <w:highlight w:val="none"/>
        </w:rPr>
        <w:t>市（州）财政</w:t>
      </w: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</w:rPr>
        <w:t>，同步分解下达了项目绩效目标表</w:t>
      </w:r>
      <w:r>
        <w:rPr>
          <w:rFonts w:ascii="仿宋_GB2312" w:eastAsia="仿宋_GB2312" w:cs="Times New Roman"/>
          <w:color w:val="auto"/>
          <w:kern w:val="0"/>
          <w:sz w:val="32"/>
          <w:szCs w:val="32"/>
          <w:highlight w:val="none"/>
        </w:rPr>
        <w:t>。具体分配情况如下：</w:t>
      </w:r>
    </w:p>
    <w:p>
      <w:pPr>
        <w:pStyle w:val="8"/>
        <w:spacing w:line="560" w:lineRule="exact"/>
        <w:jc w:val="right"/>
        <w:rPr>
          <w:rFonts w:ascii="仿宋" w:eastAsia="仿宋" w:cs="Times New Roman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eastAsia="仿宋" w:cs="Times New Roman"/>
          <w:color w:val="auto"/>
          <w:kern w:val="0"/>
          <w:sz w:val="24"/>
          <w:szCs w:val="24"/>
          <w:highlight w:val="none"/>
        </w:rPr>
        <w:t>单位：万元</w:t>
      </w:r>
    </w:p>
    <w:tbl>
      <w:tblPr>
        <w:tblStyle w:val="15"/>
        <w:tblW w:w="905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2856"/>
        <w:gridCol w:w="2351"/>
        <w:gridCol w:w="275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tblHeader/>
        </w:trPr>
        <w:tc>
          <w:tcPr>
            <w:tcW w:w="11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85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市（州）</w:t>
            </w:r>
          </w:p>
        </w:tc>
        <w:tc>
          <w:tcPr>
            <w:tcW w:w="235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县（区）</w:t>
            </w:r>
          </w:p>
        </w:tc>
        <w:tc>
          <w:tcPr>
            <w:tcW w:w="275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预算下达金额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tblHeader/>
        </w:trPr>
        <w:tc>
          <w:tcPr>
            <w:tcW w:w="11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85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贵州省</w:t>
            </w:r>
          </w:p>
        </w:tc>
        <w:tc>
          <w:tcPr>
            <w:tcW w:w="235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省本级</w:t>
            </w:r>
          </w:p>
        </w:tc>
        <w:tc>
          <w:tcPr>
            <w:tcW w:w="275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3039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贵阳市</w:t>
            </w:r>
          </w:p>
        </w:tc>
        <w:tc>
          <w:tcPr>
            <w:tcW w:w="23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市本级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2080.00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六盘水市</w:t>
            </w:r>
          </w:p>
        </w:tc>
        <w:tc>
          <w:tcPr>
            <w:tcW w:w="23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市本级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1861.00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遵义市</w:t>
            </w:r>
          </w:p>
        </w:tc>
        <w:tc>
          <w:tcPr>
            <w:tcW w:w="23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市本级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518.00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安顺市</w:t>
            </w:r>
          </w:p>
        </w:tc>
        <w:tc>
          <w:tcPr>
            <w:tcW w:w="23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市本级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1081.00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毕节市</w:t>
            </w:r>
          </w:p>
        </w:tc>
        <w:tc>
          <w:tcPr>
            <w:tcW w:w="23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市本级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4820.00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铜仁市</w:t>
            </w:r>
          </w:p>
        </w:tc>
        <w:tc>
          <w:tcPr>
            <w:tcW w:w="23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市本级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3988.00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黔西南布依族苗族自治州</w:t>
            </w:r>
          </w:p>
        </w:tc>
        <w:tc>
          <w:tcPr>
            <w:tcW w:w="23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州本级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00.00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黔东南苗族侗族自治州</w:t>
            </w:r>
          </w:p>
        </w:tc>
        <w:tc>
          <w:tcPr>
            <w:tcW w:w="23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市本级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2536.00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黔南布依族苗族自治州</w:t>
            </w:r>
          </w:p>
        </w:tc>
        <w:tc>
          <w:tcPr>
            <w:tcW w:w="23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市本级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1531.00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308" w:type="dxa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highlight w:val="none"/>
              </w:rPr>
              <w:t>合计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21454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highlight w:val="none"/>
              </w:rPr>
              <w:t>.00</w:t>
            </w:r>
          </w:p>
        </w:tc>
      </w:tr>
    </w:tbl>
    <w:p>
      <w:pPr>
        <w:pStyle w:val="2"/>
        <w:spacing w:before="0" w:after="0" w:line="560" w:lineRule="exact"/>
        <w:ind w:firstLine="640" w:firstLineChars="200"/>
        <w:jc w:val="both"/>
        <w:rPr>
          <w:rFonts w:ascii="黑体" w:eastAsia="黑体"/>
          <w:b w:val="0"/>
          <w:color w:val="auto"/>
          <w:sz w:val="32"/>
          <w:szCs w:val="32"/>
          <w:highlight w:val="none"/>
        </w:rPr>
      </w:pPr>
      <w:r>
        <w:rPr>
          <w:rFonts w:hint="eastAsia" w:ascii="黑体" w:eastAsia="黑体"/>
          <w:b w:val="0"/>
          <w:color w:val="auto"/>
          <w:sz w:val="32"/>
          <w:szCs w:val="32"/>
          <w:highlight w:val="none"/>
        </w:rPr>
        <w:t>二、绩效情况分析</w:t>
      </w:r>
    </w:p>
    <w:p>
      <w:pPr>
        <w:pStyle w:val="3"/>
        <w:spacing w:before="0" w:after="0" w:line="560" w:lineRule="exact"/>
        <w:ind w:firstLine="640" w:firstLineChars="200"/>
        <w:rPr>
          <w:rFonts w:ascii="Times New Roman" w:hAnsi="Times New Roman" w:eastAsia="楷体_GB2312"/>
          <w:b w:val="0"/>
          <w:color w:val="auto"/>
          <w:highlight w:val="none"/>
        </w:rPr>
      </w:pPr>
      <w:r>
        <w:rPr>
          <w:rFonts w:hint="eastAsia" w:ascii="Times New Roman" w:hAnsi="Times New Roman" w:eastAsia="楷体_GB2312"/>
          <w:b w:val="0"/>
          <w:color w:val="auto"/>
          <w:highlight w:val="none"/>
        </w:rPr>
        <w:t>（</w:t>
      </w:r>
      <w:r>
        <w:rPr>
          <w:rFonts w:hint="eastAsia" w:ascii="Times New Roman" w:hAnsi="Times New Roman" w:eastAsia="楷体_GB2312"/>
          <w:b w:val="0"/>
          <w:color w:val="auto"/>
          <w:highlight w:val="none"/>
          <w:lang w:eastAsia="zh-CN"/>
        </w:rPr>
        <w:t>一</w:t>
      </w:r>
      <w:r>
        <w:rPr>
          <w:rFonts w:hint="eastAsia" w:ascii="Times New Roman" w:hAnsi="Times New Roman" w:eastAsia="楷体_GB2312"/>
          <w:b w:val="0"/>
          <w:color w:val="auto"/>
          <w:highlight w:val="none"/>
        </w:rPr>
        <w:t>）总体绩效目标完成情况分析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通过实施土壤污染防治项目，全省土壤环境质量总体保持稳定，农用地和建设用地土壤环境安全得到基本保障。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截至2024年底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，</w:t>
      </w:r>
      <w:r>
        <w:rPr>
          <w:rFonts w:hint="default" w:ascii="Times New Roman" w:hAnsi="Times New Roman" w:eastAsia="仿宋" w:cs="Times New Roman"/>
          <w:color w:val="auto"/>
          <w:kern w:val="2"/>
          <w:sz w:val="32"/>
          <w:szCs w:val="32"/>
          <w:lang w:val="en-US" w:eastAsia="zh-CN" w:bidi="ar-SA"/>
        </w:rPr>
        <w:t>681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块“一住两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公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”地块落实土壤污染状况调查等措施，重点建设用地安全利用得到有效保障；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更新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发布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批次《贵州省建设用地土壤污染风险管控和修复名录》，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</w:rPr>
        <w:t>截至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  <w:lang w:val="en-US" w:eastAsia="zh-CN"/>
        </w:rPr>
        <w:t>2024年底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</w:rPr>
        <w:t>，</w:t>
      </w:r>
      <w:r>
        <w:rPr>
          <w:rFonts w:hint="default" w:ascii="Times New Roman" w:hAnsi="Times New Roman" w:eastAsia="仿宋" w:cs="Times New Roman"/>
          <w:color w:val="auto"/>
          <w:kern w:val="2"/>
          <w:sz w:val="32"/>
          <w:szCs w:val="32"/>
          <w:lang w:val="en-US" w:eastAsia="zh-CN" w:bidi="ar-SA"/>
        </w:rPr>
        <w:t>全省纳入名录管理地块28块，累计移出名录地块64块，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</w:rPr>
        <w:t>其中202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</w:rPr>
        <w:t>年移出7块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  <w:lang w:eastAsia="zh-CN"/>
        </w:rPr>
        <w:t>；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</w:rPr>
        <w:t>“十四五”期间累计完成污染地块修复治理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  <w:lang w:val="en-US" w:eastAsia="zh-CN"/>
        </w:rPr>
        <w:t>34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</w:rPr>
        <w:t>块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  <w:lang w:eastAsia="zh-CN"/>
        </w:rPr>
        <w:t>；2021年以来累计争取中央土壤污染防治专项资金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  <w:lang w:val="en-US" w:eastAsia="zh-CN"/>
        </w:rPr>
        <w:t>8.9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  <w:lang w:eastAsia="zh-CN"/>
        </w:rPr>
        <w:t>亿元，其中安排约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  <w:lang w:val="en-US" w:eastAsia="zh-CN"/>
        </w:rPr>
        <w:t>7.1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  <w:lang w:eastAsia="zh-CN"/>
        </w:rPr>
        <w:t>亿元启动实施历史遗留废渣、酸性废水排查治理项目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  <w:lang w:val="en-US" w:eastAsia="zh-CN"/>
        </w:rPr>
        <w:t>88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  <w:lang w:eastAsia="zh-CN"/>
        </w:rPr>
        <w:t>个；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</w:rPr>
        <w:t>截至2024年，全省累计完成历史遗留废渣、污染底泥、酸性废水治理项目约160个，治理面积约7330亩，治理废渣约6065万吨，治理酸性废水约536万立方米，治理污染河道50千米，原位封存铅、锌、汞、饼、铊等重金属量约73万吨，保护废渣废水污染源周边及下游耕地约40.5万亩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  <w:lang w:eastAsia="zh-CN"/>
        </w:rPr>
        <w:t>；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初步截断废渣中的重金属污染物持续进入周边环境的途径，解决了一批铅锌、汞、锰、锑等重金属历史遗留废渣环境风险问题，为实现人民群众“吃得放心、住得安心”打下坚实基础。</w:t>
      </w:r>
    </w:p>
    <w:p>
      <w:pPr>
        <w:pStyle w:val="3"/>
        <w:spacing w:before="0" w:after="0" w:line="560" w:lineRule="exact"/>
        <w:ind w:firstLine="640" w:firstLineChars="200"/>
        <w:rPr>
          <w:rFonts w:ascii="Times New Roman" w:hAnsi="Times New Roman" w:eastAsia="楷体_GB2312"/>
          <w:b w:val="0"/>
          <w:color w:val="auto"/>
          <w:highlight w:val="none"/>
        </w:rPr>
      </w:pPr>
      <w:r>
        <w:rPr>
          <w:rFonts w:hint="eastAsia" w:ascii="Times New Roman" w:hAnsi="Times New Roman" w:eastAsia="楷体_GB2312"/>
          <w:b w:val="0"/>
          <w:color w:val="auto"/>
          <w:highlight w:val="none"/>
        </w:rPr>
        <w:t>（</w:t>
      </w:r>
      <w:r>
        <w:rPr>
          <w:rFonts w:hint="eastAsia" w:ascii="Times New Roman" w:hAnsi="Times New Roman" w:eastAsia="楷体_GB2312"/>
          <w:b w:val="0"/>
          <w:color w:val="auto"/>
          <w:highlight w:val="none"/>
          <w:lang w:eastAsia="zh-CN"/>
        </w:rPr>
        <w:t>二</w:t>
      </w:r>
      <w:r>
        <w:rPr>
          <w:rFonts w:hint="eastAsia" w:ascii="Times New Roman" w:hAnsi="Times New Roman" w:eastAsia="楷体_GB2312"/>
          <w:b w:val="0"/>
          <w:color w:val="auto"/>
          <w:highlight w:val="none"/>
        </w:rPr>
        <w:t>）</w:t>
      </w:r>
      <w:r>
        <w:rPr>
          <w:rFonts w:ascii="Times New Roman" w:hAnsi="Times New Roman" w:eastAsia="楷体_GB2312"/>
          <w:b w:val="0"/>
          <w:color w:val="auto"/>
          <w:highlight w:val="none"/>
        </w:rPr>
        <w:t>绩效指标完成情况分析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ascii="仿宋_GB2312" w:eastAsia="仿宋_GB2312" w:cs="Times New Roman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</w:rPr>
        <w:t>1.产出指标完成情况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ascii="仿宋_GB2312" w:eastAsia="仿宋_GB2312" w:cs="Times New Roman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 w:cs="Times New Roman"/>
          <w:color w:val="auto"/>
          <w:kern w:val="0"/>
          <w:sz w:val="32"/>
          <w:szCs w:val="32"/>
          <w:highlight w:val="none"/>
        </w:rPr>
        <w:t>（1）数量指标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①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eastAsia="zh-CN"/>
        </w:rPr>
        <w:t>计划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开展土壤污染监测点位数≥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510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个，实际已完成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522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个；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②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eastAsia="zh-CN"/>
        </w:rPr>
        <w:t>计划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开展土壤污染调查、评估面积</w:t>
      </w:r>
      <w:r>
        <w:rPr>
          <w:rFonts w:hint="eastAsia" w:ascii="Times New Roman" w:eastAsia="仿宋_GB2312" w:cs="Times New Roman"/>
          <w:color w:val="auto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亩</w:t>
      </w:r>
      <w:r>
        <w:rPr>
          <w:rFonts w:hint="eastAsia" w:ascii="Times New Roman" w:eastAsia="仿宋_GB2312" w:cs="Times New Roman"/>
          <w:color w:val="auto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≥480，实际完成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489.03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亩；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③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eastAsia="zh-CN"/>
        </w:rPr>
        <w:t>计划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开展建设用地风险管控，治理修复地块数</w:t>
      </w:r>
      <w:r>
        <w:rPr>
          <w:rFonts w:hint="eastAsia" w:ascii="Times New Roman" w:eastAsia="仿宋_GB2312" w:cs="Times New Roman"/>
          <w:color w:val="auto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块</w:t>
      </w:r>
      <w:r>
        <w:rPr>
          <w:rFonts w:hint="eastAsia" w:ascii="Times New Roman" w:eastAsia="仿宋_GB2312" w:cs="Times New Roman"/>
          <w:color w:val="auto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≥4，实际完成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块；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④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eastAsia="zh-CN"/>
        </w:rPr>
        <w:t>计划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开展土壤污染源头防控项目数量</w:t>
      </w:r>
      <w:r>
        <w:rPr>
          <w:rFonts w:hint="eastAsia" w:ascii="Times New Roman" w:eastAsia="仿宋_GB2312" w:cs="Times New Roman"/>
          <w:color w:val="auto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个</w:t>
      </w:r>
      <w:r>
        <w:rPr>
          <w:rFonts w:hint="eastAsia" w:ascii="Times New Roman" w:eastAsia="仿宋_GB2312" w:cs="Times New Roman"/>
          <w:color w:val="auto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≥11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实际完成18个；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⑤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eastAsia="zh-CN"/>
        </w:rPr>
        <w:t>计划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开展土壤污染源治理数量≥18，实际完成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18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个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widowControl/>
        <w:adjustRightInd w:val="0"/>
        <w:snapToGrid w:val="0"/>
        <w:spacing w:line="560" w:lineRule="exact"/>
        <w:ind w:left="640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（2）质量指标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①建设用地、农用地管控或修复项目效果评估通过率100%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②项目验收合格率100%，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截至目前，已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竣工验收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个，项目验收合格率100%。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（3）时效指标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①支持24个项目，已开工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18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个，项目开工率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75.00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%。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②支持24个项目，已完工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个，项目完工率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41.67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%。</w:t>
      </w:r>
    </w:p>
    <w:p>
      <w:pPr>
        <w:keepNext/>
        <w:widowControl/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2.效益指标完成情况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①消除土壤污染风险隐患。通过实施污染治理项目，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eastAsia="zh-CN"/>
        </w:rPr>
        <w:t>有效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降低重金属对当地环境的污染负荷，改善土壤、地表水环境质量，降低了土壤污染风险隐患。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②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eastAsia="zh-CN"/>
        </w:rPr>
        <w:t>计划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保护污染源周边耕地面积≥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3100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亩，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eastAsia="zh-CN"/>
        </w:rPr>
        <w:t>已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完成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3316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3.满意度指标完成情况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土壤污染防治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资金项目实施过程中，未收到投诉，举报等反馈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群众满意度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≥90%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。</w:t>
      </w:r>
    </w:p>
    <w:p>
      <w:p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31"/>
        </w:pBdr>
        <w:topLinePunct/>
        <w:adjustRightInd w:val="0"/>
        <w:snapToGrid w:val="0"/>
        <w:spacing w:line="560" w:lineRule="exact"/>
        <w:ind w:firstLine="640" w:firstLineChars="200"/>
        <w:outlineLvl w:val="1"/>
        <w:rPr>
          <w:rFonts w:hint="eastAsia" w:ascii="黑体" w:eastAsia="黑体"/>
          <w:b w:val="0"/>
          <w:color w:val="auto"/>
          <w:sz w:val="32"/>
          <w:szCs w:val="32"/>
          <w:highlight w:val="none"/>
        </w:rPr>
      </w:pPr>
      <w:r>
        <w:rPr>
          <w:rFonts w:hint="eastAsia" w:ascii="黑体" w:eastAsia="黑体"/>
          <w:b w:val="0"/>
          <w:color w:val="auto"/>
          <w:sz w:val="32"/>
          <w:szCs w:val="32"/>
          <w:highlight w:val="none"/>
          <w:lang w:eastAsia="zh-CN"/>
        </w:rPr>
        <w:t>三</w:t>
      </w:r>
      <w:r>
        <w:rPr>
          <w:rFonts w:hint="eastAsia" w:ascii="黑体" w:eastAsia="黑体"/>
          <w:b w:val="0"/>
          <w:color w:val="auto"/>
          <w:sz w:val="32"/>
          <w:szCs w:val="32"/>
          <w:highlight w:val="none"/>
        </w:rPr>
        <w:t>、绩效自评结果拟应用和公开情况</w:t>
      </w:r>
    </w:p>
    <w:p>
      <w:p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31"/>
        </w:pBdr>
        <w:topLinePunct/>
        <w:adjustRightInd w:val="0"/>
        <w:snapToGrid w:val="0"/>
        <w:spacing w:line="560" w:lineRule="exact"/>
        <w:ind w:firstLine="640" w:firstLineChars="200"/>
        <w:outlineLvl w:val="1"/>
        <w:rPr>
          <w:rFonts w:hint="eastAsia" w:ascii="仿宋_GB2312" w:eastAsia="仿宋_GB2312" w:cs="Times New Roman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 w:cs="Times New Roman"/>
          <w:color w:val="auto"/>
          <w:sz w:val="32"/>
          <w:szCs w:val="32"/>
          <w:highlight w:val="none"/>
        </w:rPr>
        <w:t>针对绩效自评结果，拟通过以下措施，强化绩效自评结果的运用：一是拟公开自评结果，利用绩效自评成果改进下一年度绩效自评指标，并将绩效自评结果在厅门户网站公开，接受社会监督，从而完善项目自评机制；二是与下一年度预算安排结合，本次自评结果作为下一年度预算的重要依据；三是及时总结经验，改进管理措施，完善工作机制，有效提高资金管理水平和使用效率，确保项目按既定要求完成，及时发挥财政资金效能。</w:t>
      </w:r>
    </w:p>
    <w:p>
      <w:pPr>
        <w:numPr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31"/>
        </w:pBdr>
        <w:topLinePunct/>
        <w:adjustRightInd w:val="0"/>
        <w:snapToGrid w:val="0"/>
        <w:spacing w:line="560" w:lineRule="exact"/>
        <w:ind w:firstLine="640" w:firstLineChars="200"/>
        <w:outlineLvl w:val="1"/>
        <w:rPr>
          <w:rFonts w:hint="eastAsia" w:ascii="黑体" w:eastAsia="黑体"/>
          <w:b w:val="0"/>
          <w:color w:val="auto"/>
          <w:sz w:val="32"/>
          <w:szCs w:val="32"/>
          <w:highlight w:val="none"/>
        </w:rPr>
      </w:pPr>
      <w:r>
        <w:rPr>
          <w:rFonts w:hint="eastAsia" w:ascii="黑体" w:eastAsia="黑体"/>
          <w:b w:val="0"/>
          <w:color w:val="auto"/>
          <w:sz w:val="32"/>
          <w:szCs w:val="32"/>
          <w:highlight w:val="none"/>
          <w:lang w:eastAsia="zh-CN"/>
        </w:rPr>
        <w:t>四、</w:t>
      </w:r>
      <w:r>
        <w:rPr>
          <w:rFonts w:hint="eastAsia" w:ascii="黑体" w:eastAsia="黑体"/>
          <w:b w:val="0"/>
          <w:color w:val="auto"/>
          <w:sz w:val="32"/>
          <w:szCs w:val="32"/>
          <w:highlight w:val="none"/>
        </w:rPr>
        <w:t>其他需要说明的问题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31"/>
        </w:pBdr>
        <w:topLinePunct/>
        <w:adjustRightInd w:val="0"/>
        <w:snapToGrid w:val="0"/>
        <w:spacing w:line="560" w:lineRule="exact"/>
        <w:ind w:firstLine="640" w:firstLineChars="200"/>
        <w:outlineLvl w:val="1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无。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31"/>
        </w:pBdr>
        <w:topLinePunct/>
        <w:adjustRightInd w:val="0"/>
        <w:snapToGrid w:val="0"/>
        <w:spacing w:line="560" w:lineRule="exact"/>
        <w:ind w:firstLine="640" w:firstLineChars="200"/>
        <w:outlineLvl w:val="1"/>
        <w:rPr>
          <w:rFonts w:hint="eastAsia" w:ascii="黑体" w:eastAsia="黑体" w:cs="Times New Roman"/>
          <w:color w:val="auto"/>
          <w:sz w:val="32"/>
          <w:szCs w:val="32"/>
          <w:highlight w:val="none"/>
        </w:rPr>
      </w:pPr>
      <w:r>
        <w:rPr>
          <w:rFonts w:hint="eastAsia" w:ascii="黑体" w:eastAsia="黑体" w:cs="Times New Roman"/>
          <w:color w:val="auto"/>
          <w:sz w:val="32"/>
          <w:szCs w:val="32"/>
          <w:highlight w:val="none"/>
          <w:lang w:eastAsia="zh-CN"/>
        </w:rPr>
        <w:t>五</w:t>
      </w:r>
      <w:bookmarkStart w:id="0" w:name="_GoBack"/>
      <w:bookmarkEnd w:id="0"/>
      <w:r>
        <w:rPr>
          <w:rFonts w:hint="eastAsia" w:ascii="黑体" w:eastAsia="黑体" w:cs="Times New Roman"/>
          <w:color w:val="auto"/>
          <w:sz w:val="32"/>
          <w:szCs w:val="32"/>
          <w:highlight w:val="none"/>
        </w:rPr>
        <w:t>、附表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31"/>
        </w:pBdr>
        <w:topLinePunct/>
        <w:adjustRightInd w:val="0"/>
        <w:snapToGrid w:val="0"/>
        <w:spacing w:line="560" w:lineRule="exact"/>
        <w:ind w:firstLine="640" w:firstLineChars="200"/>
        <w:outlineLvl w:val="1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附表</w:t>
      </w:r>
      <w:r>
        <w:rPr>
          <w:rFonts w:ascii="仿宋_GB2312" w:eastAsia="仿宋_GB2312"/>
          <w:color w:val="auto"/>
          <w:sz w:val="32"/>
          <w:szCs w:val="32"/>
          <w:highlight w:val="none"/>
        </w:rPr>
        <w:t>: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贵州省土壤污染防治资金转移支付区域（项目）绩效自评表</w:t>
      </w:r>
    </w:p>
    <w:p>
      <w:pPr>
        <w:ind w:firstLine="1280" w:firstLineChars="40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</w:p>
    <w:p>
      <w:pPr>
        <w:ind w:firstLine="1280" w:firstLineChars="400"/>
        <w:rPr>
          <w:rFonts w:hint="eastAsia" w:ascii="仿宋_GB2312" w:eastAsia="仿宋_GB2312"/>
          <w:color w:val="auto"/>
          <w:sz w:val="32"/>
          <w:szCs w:val="32"/>
          <w:highlight w:val="none"/>
        </w:rPr>
        <w:sectPr>
          <w:footerReference r:id="rId3" w:type="default"/>
          <w:pgSz w:w="11906" w:h="16838"/>
          <w:pgMar w:top="2098" w:right="1474" w:bottom="1984" w:left="1587" w:header="851" w:footer="992" w:gutter="0"/>
          <w:cols w:space="720" w:num="1"/>
          <w:docGrid w:type="lines" w:linePitch="312" w:charSpace="0"/>
        </w:sectPr>
      </w:pPr>
    </w:p>
    <w:p>
      <w:pPr>
        <w:widowControl/>
        <w:spacing w:line="560" w:lineRule="exact"/>
        <w:rPr>
          <w:rFonts w:hint="eastAsia" w:ascii="黑体" w:hAnsi="黑体" w:eastAsia="黑体" w:cs="黑体"/>
          <w:b w:val="0"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32"/>
          <w:szCs w:val="32"/>
          <w:highlight w:val="none"/>
        </w:rPr>
        <w:t>附表</w:t>
      </w:r>
    </w:p>
    <w:p>
      <w:pPr>
        <w:widowControl/>
        <w:spacing w:line="560" w:lineRule="exact"/>
        <w:rPr>
          <w:rFonts w:ascii="仿宋_GB2312" w:eastAsia="仿宋_GB2312" w:cs="宋体"/>
          <w:b/>
          <w:bCs/>
          <w:color w:val="auto"/>
          <w:kern w:val="0"/>
          <w:szCs w:val="21"/>
          <w:highlight w:val="none"/>
        </w:rPr>
      </w:pPr>
    </w:p>
    <w:tbl>
      <w:tblPr>
        <w:tblStyle w:val="15"/>
        <w:tblW w:w="1417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1072"/>
        <w:gridCol w:w="1412"/>
        <w:gridCol w:w="2466"/>
        <w:gridCol w:w="1690"/>
        <w:gridCol w:w="1996"/>
        <w:gridCol w:w="1250"/>
        <w:gridCol w:w="1290"/>
        <w:gridCol w:w="194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17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36"/>
                <w:szCs w:val="36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highlight w:val="none"/>
                <w:u w:val="none"/>
                <w:lang w:val="en-US" w:eastAsia="zh-CN" w:bidi="ar"/>
              </w:rPr>
              <w:t>贵州省土壤污染防治资金转移支付区域（项目）绩效自评表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17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（2024年度）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5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转移支付（项目）名称</w:t>
            </w:r>
          </w:p>
        </w:tc>
        <w:tc>
          <w:tcPr>
            <w:tcW w:w="1063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2024年土壤污染防治资金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5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中央主管部门</w:t>
            </w:r>
          </w:p>
        </w:tc>
        <w:tc>
          <w:tcPr>
            <w:tcW w:w="1063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财政部、生态环境部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5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地方主管部门</w:t>
            </w: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贵州省财政厅、贵州省生态环境厅</w:t>
            </w:r>
          </w:p>
        </w:tc>
        <w:tc>
          <w:tcPr>
            <w:tcW w:w="36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资金使用单位</w:t>
            </w:r>
          </w:p>
        </w:tc>
        <w:tc>
          <w:tcPr>
            <w:tcW w:w="44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各级生态环境部门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54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资金投入情况                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36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全年预算数（A）</w:t>
            </w:r>
          </w:p>
        </w:tc>
        <w:tc>
          <w:tcPr>
            <w:tcW w:w="25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全年执行数（B）</w:t>
            </w:r>
          </w:p>
        </w:tc>
        <w:tc>
          <w:tcPr>
            <w:tcW w:w="1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预算执行率（B/A×100%</w:t>
            </w:r>
            <w:r>
              <w:rPr>
                <w:rFonts w:hint="eastAsia" w:asci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5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其中：中央财政资金</w:t>
            </w:r>
          </w:p>
        </w:tc>
        <w:tc>
          <w:tcPr>
            <w:tcW w:w="36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21454</w:t>
            </w:r>
          </w:p>
        </w:tc>
        <w:tc>
          <w:tcPr>
            <w:tcW w:w="25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8397.50272</w:t>
            </w:r>
          </w:p>
        </w:tc>
        <w:tc>
          <w:tcPr>
            <w:tcW w:w="1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39.14%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5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地方财政资金</w:t>
            </w:r>
          </w:p>
        </w:tc>
        <w:tc>
          <w:tcPr>
            <w:tcW w:w="36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/>
              </w:rPr>
            </w:pPr>
            <w:r>
              <w:rPr>
                <w:rFonts w:hint="eastAsia" w:asci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3600.38</w:t>
            </w:r>
          </w:p>
        </w:tc>
        <w:tc>
          <w:tcPr>
            <w:tcW w:w="25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1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5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36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25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1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54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资金管理情况</w:t>
            </w: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6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情况说明</w:t>
            </w:r>
          </w:p>
        </w:tc>
        <w:tc>
          <w:tcPr>
            <w:tcW w:w="44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存在问题和改进措施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5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分配科学性</w:t>
            </w:r>
          </w:p>
        </w:tc>
        <w:tc>
          <w:tcPr>
            <w:tcW w:w="36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收到土壤污染防治资金后，根据《土壤污染防治资金管理办法》，围绕国家和省生态环境保护重大规划、计划和打好污染防治攻坚战核心任务，按照“资金跟着项目走，突出重点、改善民生”的原则，厅相关业务处（室）研究提出项目细化和资金分配建议，报厅党委研究审议并经省人民政府同意后，按程序会商省财政厅下达资金预算。</w:t>
            </w:r>
          </w:p>
        </w:tc>
        <w:tc>
          <w:tcPr>
            <w:tcW w:w="44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35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下达及时性</w:t>
            </w:r>
          </w:p>
        </w:tc>
        <w:tc>
          <w:tcPr>
            <w:tcW w:w="36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按照预算法及其实施条例，第一批资金于2023年12月8日分解下达，第二批资金于2024年7月26日分解下达。</w:t>
            </w:r>
          </w:p>
        </w:tc>
        <w:tc>
          <w:tcPr>
            <w:tcW w:w="44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第一批在30天内分解下达；第二批未在30天内分解下达。针对预算下达不及时，进一步加强项目储备库建设，提升项目入库数量和质量，提高项目提级论证通过率，按照生态环境部要求，做好项目审核和入库工作，提高项目分配效率，及时分解下达预算资金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5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拨付合规性</w:t>
            </w:r>
          </w:p>
        </w:tc>
        <w:tc>
          <w:tcPr>
            <w:tcW w:w="36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严格按照国库集中支付制度有关规定支付资金</w:t>
            </w:r>
          </w:p>
        </w:tc>
        <w:tc>
          <w:tcPr>
            <w:tcW w:w="44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5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使用规范性</w:t>
            </w:r>
          </w:p>
        </w:tc>
        <w:tc>
          <w:tcPr>
            <w:tcW w:w="36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严格按照下达预算的科目和项目执行</w:t>
            </w:r>
          </w:p>
        </w:tc>
        <w:tc>
          <w:tcPr>
            <w:tcW w:w="44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5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执行准确性</w:t>
            </w:r>
          </w:p>
        </w:tc>
        <w:tc>
          <w:tcPr>
            <w:tcW w:w="36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按照上级下达和本级预算安排的金额执行</w:t>
            </w:r>
          </w:p>
        </w:tc>
        <w:tc>
          <w:tcPr>
            <w:tcW w:w="44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5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预算绩效管理情况</w:t>
            </w:r>
          </w:p>
        </w:tc>
        <w:tc>
          <w:tcPr>
            <w:tcW w:w="36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下达预算时同步下达绩效目标，并组织开展现场督察、重点绩效评价（监控）</w:t>
            </w:r>
          </w:p>
        </w:tc>
        <w:tc>
          <w:tcPr>
            <w:tcW w:w="44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35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支出责任履行情况</w:t>
            </w:r>
          </w:p>
        </w:tc>
        <w:tc>
          <w:tcPr>
            <w:tcW w:w="36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落实生态环境领域财政事权和支出责任，压实地方责任，引导地方加大生态环境保护投入力度，明确申报中央生态环境资金项目配套比例和金额。</w:t>
            </w:r>
          </w:p>
        </w:tc>
        <w:tc>
          <w:tcPr>
            <w:tcW w:w="44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0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总体目标完成情况</w:t>
            </w:r>
          </w:p>
        </w:tc>
        <w:tc>
          <w:tcPr>
            <w:tcW w:w="49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总体目标</w:t>
            </w:r>
          </w:p>
        </w:tc>
        <w:tc>
          <w:tcPr>
            <w:tcW w:w="816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全年实际完成情况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10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9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强化土壤污染源头管控，推进历史遗留废渣、酸性废水排查治理，解决一批历史遗留污染问题。</w:t>
            </w:r>
          </w:p>
        </w:tc>
        <w:tc>
          <w:tcPr>
            <w:tcW w:w="816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2024年开展土壤污染监测点位数522个；开展土壤污染调查、评估面积489.03亩；开展建设用地风险管控，治理修复地块数4块；开展土壤污染源头防控项目数量18个；开展土壤污染源治理数量18个，解决一批历史遗留污染问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3246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全年实际完成值</w:t>
            </w:r>
          </w:p>
        </w:tc>
        <w:tc>
          <w:tcPr>
            <w:tcW w:w="3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未完成原因和改进措施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4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开展土壤污染监测点位数（个）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≥510</w:t>
            </w:r>
          </w:p>
        </w:tc>
        <w:tc>
          <w:tcPr>
            <w:tcW w:w="3246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522</w:t>
            </w:r>
          </w:p>
        </w:tc>
        <w:tc>
          <w:tcPr>
            <w:tcW w:w="3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开展土壤污染调查、评估面积（亩）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≥480</w:t>
            </w:r>
          </w:p>
        </w:tc>
        <w:tc>
          <w:tcPr>
            <w:tcW w:w="3246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489.03</w:t>
            </w:r>
          </w:p>
        </w:tc>
        <w:tc>
          <w:tcPr>
            <w:tcW w:w="3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开展建设用地风险管控，治理修复地块数（块）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3246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3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开展土壤污染源头防控项目数量（个）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3246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3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开展土壤污染源治理数量（个）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3246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3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4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建设用地、农用地管控或修复项目效果评估通过率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100%</w:t>
            </w:r>
          </w:p>
        </w:tc>
        <w:tc>
          <w:tcPr>
            <w:tcW w:w="3246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100%</w:t>
            </w:r>
          </w:p>
        </w:tc>
        <w:tc>
          <w:tcPr>
            <w:tcW w:w="3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项目验收合格率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100%</w:t>
            </w:r>
          </w:p>
        </w:tc>
        <w:tc>
          <w:tcPr>
            <w:tcW w:w="3246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100%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4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4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开工率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100%</w:t>
            </w:r>
          </w:p>
        </w:tc>
        <w:tc>
          <w:tcPr>
            <w:tcW w:w="3246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75.00%</w:t>
            </w:r>
          </w:p>
        </w:tc>
        <w:tc>
          <w:tcPr>
            <w:tcW w:w="3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按项目时序推进。加强资金项目调度，督促项目按计划开工建设。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完工率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≥20%</w:t>
            </w:r>
          </w:p>
        </w:tc>
        <w:tc>
          <w:tcPr>
            <w:tcW w:w="3246" w:type="dxa"/>
            <w:gridSpan w:val="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41.67%</w:t>
            </w:r>
          </w:p>
        </w:tc>
        <w:tc>
          <w:tcPr>
            <w:tcW w:w="3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4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土壤污染风险隐患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基本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消除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通过实施污染治理项目，有效降低重金属对当地环境的污染负荷，改善土壤、地表水环境质量，降低了土壤污染风险隐患。</w:t>
            </w:r>
          </w:p>
        </w:tc>
        <w:tc>
          <w:tcPr>
            <w:tcW w:w="323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保护污染源周边耕地面积（亩）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≥3100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3316</w:t>
            </w:r>
          </w:p>
        </w:tc>
        <w:tc>
          <w:tcPr>
            <w:tcW w:w="323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≥90%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100%</w:t>
            </w:r>
          </w:p>
        </w:tc>
        <w:tc>
          <w:tcPr>
            <w:tcW w:w="3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17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说明：无。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417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注:1.资金使用单位按项目绩效目标填报，主管部门汇总时按区域绩效目标填报。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   2.其他资金包括与中央财政资金、地方财政资金共同投入到同一项目的自有资金、社会资金，以及以前年度的结转结余资金等。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   3.全年执行数是指按照国库集中支付制度要求所形成的实际支出。</w:t>
            </w:r>
          </w:p>
        </w:tc>
      </w:tr>
    </w:tbl>
    <w:p>
      <w:pPr>
        <w:pStyle w:val="8"/>
        <w:rPr>
          <w:color w:val="auto"/>
          <w:highlight w:val="none"/>
        </w:rPr>
      </w:pPr>
    </w:p>
    <w:sectPr>
      <w:pgSz w:w="16838" w:h="11906" w:orient="landscape"/>
      <w:pgMar w:top="1797" w:right="1440" w:bottom="1797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anumGothic">
    <w:panose1 w:val="020D0604000000000000"/>
    <w:charset w:val="81"/>
    <w:family w:val="auto"/>
    <w:pitch w:val="default"/>
    <w:sig w:usb0="900002A7" w:usb1="29D7FCFB" w:usb2="00000010" w:usb3="00000000" w:csb0="0008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86761343"/>
    </w:sdtPr>
    <w:sdtEndPr>
      <w:rPr>
        <w:rFonts w:ascii="宋体" w:eastAsia="宋体"/>
        <w:sz w:val="24"/>
        <w:szCs w:val="24"/>
      </w:rPr>
    </w:sdtEndPr>
    <w:sdtContent>
      <w:p>
        <w:pPr>
          <w:pStyle w:val="28"/>
          <w:jc w:val="center"/>
          <w:rPr>
            <w:rFonts w:ascii="宋体" w:eastAsia="宋体"/>
            <w:sz w:val="24"/>
            <w:szCs w:val="24"/>
          </w:rPr>
        </w:pPr>
        <w:r>
          <w:rPr>
            <w:rFonts w:ascii="宋体" w:eastAsia="宋体"/>
            <w:sz w:val="24"/>
            <w:szCs w:val="24"/>
          </w:rPr>
          <w:fldChar w:fldCharType="begin"/>
        </w:r>
        <w:r>
          <w:rPr>
            <w:rFonts w:ascii="宋体" w:eastAsia="宋体"/>
            <w:sz w:val="24"/>
            <w:szCs w:val="24"/>
          </w:rPr>
          <w:instrText xml:space="preserve">PAGE   \* MERGEFORMAT</w:instrText>
        </w:r>
        <w:r>
          <w:rPr>
            <w:rFonts w:ascii="宋体" w:eastAsia="宋体"/>
            <w:sz w:val="24"/>
            <w:szCs w:val="24"/>
          </w:rPr>
          <w:fldChar w:fldCharType="separate"/>
        </w:r>
        <w:r>
          <w:rPr>
            <w:rFonts w:ascii="宋体" w:eastAsia="宋体"/>
            <w:sz w:val="24"/>
            <w:szCs w:val="24"/>
            <w:lang w:val="zh-CN"/>
          </w:rPr>
          <w:t>21</w:t>
        </w:r>
        <w:r>
          <w:rPr>
            <w:rFonts w:ascii="宋体" w:eastAsia="宋体"/>
            <w:sz w:val="24"/>
            <w:szCs w:val="24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dit="readOnly"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</w:compat>
  <w:docVars>
    <w:docVar w:name="commondata" w:val="eyJoZGlkIjoiMTg3MWIxZTczZjFmZTAzODAyNGViOTUwNWNiYjcwZjkifQ=="/>
  </w:docVars>
  <w:rsids>
    <w:rsidRoot w:val="00000000"/>
    <w:rsid w:val="00073922"/>
    <w:rsid w:val="06F020EB"/>
    <w:rsid w:val="08E86BB9"/>
    <w:rsid w:val="1733411F"/>
    <w:rsid w:val="1B5351A8"/>
    <w:rsid w:val="21F97F1C"/>
    <w:rsid w:val="299BAF25"/>
    <w:rsid w:val="2AB35C9C"/>
    <w:rsid w:val="2FFF15B5"/>
    <w:rsid w:val="3775168B"/>
    <w:rsid w:val="3DFF04CC"/>
    <w:rsid w:val="3E7B24D9"/>
    <w:rsid w:val="3F436645"/>
    <w:rsid w:val="3FEFB653"/>
    <w:rsid w:val="432033C6"/>
    <w:rsid w:val="480F7446"/>
    <w:rsid w:val="4B8753BA"/>
    <w:rsid w:val="4CD50127"/>
    <w:rsid w:val="4FF7D2FB"/>
    <w:rsid w:val="52837EC9"/>
    <w:rsid w:val="534F5D39"/>
    <w:rsid w:val="5F240BF6"/>
    <w:rsid w:val="5F9F57BE"/>
    <w:rsid w:val="5FB5C7AE"/>
    <w:rsid w:val="5FFFFDEA"/>
    <w:rsid w:val="68EDB0EF"/>
    <w:rsid w:val="6AED459B"/>
    <w:rsid w:val="6F3B6006"/>
    <w:rsid w:val="709E4E4F"/>
    <w:rsid w:val="712A1F45"/>
    <w:rsid w:val="72580A84"/>
    <w:rsid w:val="73DF0DFE"/>
    <w:rsid w:val="764FC046"/>
    <w:rsid w:val="77DF552D"/>
    <w:rsid w:val="77FF935A"/>
    <w:rsid w:val="79B3323E"/>
    <w:rsid w:val="7A9B374F"/>
    <w:rsid w:val="7B3F3000"/>
    <w:rsid w:val="7B707DC3"/>
    <w:rsid w:val="7BB6E647"/>
    <w:rsid w:val="7EF443EE"/>
    <w:rsid w:val="7F5BEC14"/>
    <w:rsid w:val="7F6BCE11"/>
    <w:rsid w:val="7FBFF732"/>
    <w:rsid w:val="9CF7CF56"/>
    <w:rsid w:val="9E9FE6B8"/>
    <w:rsid w:val="C75AA171"/>
    <w:rsid w:val="D3F5BD8D"/>
    <w:rsid w:val="D75F8934"/>
    <w:rsid w:val="DDF7277F"/>
    <w:rsid w:val="DDFDA101"/>
    <w:rsid w:val="DEAF64F5"/>
    <w:rsid w:val="DFE63576"/>
    <w:rsid w:val="DFF25D26"/>
    <w:rsid w:val="E4D7B468"/>
    <w:rsid w:val="EE93CBF3"/>
    <w:rsid w:val="F9EB8225"/>
    <w:rsid w:val="FDFF06B1"/>
    <w:rsid w:val="FFDF186F"/>
    <w:rsid w:val="FFE7A624"/>
    <w:rsid w:val="FFFEF1D3"/>
    <w:rsid w:val="FFFF3EE1"/>
    <w:rsid w:val="FFFF74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Times New Roman" w:eastAsia="等线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/>
      <w:adjustRightInd w:val="0"/>
      <w:snapToGrid w:val="0"/>
      <w:spacing w:before="340" w:after="330" w:line="578" w:lineRule="auto"/>
      <w:jc w:val="left"/>
      <w:outlineLvl w:val="0"/>
    </w:pPr>
    <w:rPr>
      <w:rFonts w:ascii="Tahoma" w:hAnsi="Tahoma" w:eastAsia="微软雅黑"/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Cambria" w:hAnsi="Cambria" w:eastAsia="宋体" w:cs="Times New Roman"/>
      <w:b/>
      <w:bCs/>
      <w:kern w:val="0"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6">
    <w:name w:val="Default Paragraph Font"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widowControl/>
      <w:adjustRightInd w:val="0"/>
      <w:snapToGrid w:val="0"/>
      <w:spacing w:after="200"/>
      <w:jc w:val="left"/>
    </w:pPr>
    <w:rPr>
      <w:rFonts w:ascii="Tahoma" w:hAnsi="Tahoma" w:eastAsia="微软雅黑"/>
      <w:kern w:val="0"/>
      <w:sz w:val="22"/>
    </w:rPr>
  </w:style>
  <w:style w:type="paragraph" w:styleId="6">
    <w:name w:val="Body Text Indent"/>
    <w:basedOn w:val="1"/>
    <w:qFormat/>
    <w:uiPriority w:val="0"/>
    <w:pPr>
      <w:widowControl/>
      <w:adjustRightInd w:val="0"/>
      <w:snapToGrid w:val="0"/>
      <w:spacing w:after="120"/>
      <w:ind w:left="200" w:leftChars="200"/>
      <w:jc w:val="left"/>
    </w:pPr>
    <w:rPr>
      <w:rFonts w:ascii="Tahoma" w:hAnsi="Tahoma" w:eastAsia="微软雅黑"/>
      <w:kern w:val="0"/>
      <w:sz w:val="22"/>
    </w:rPr>
  </w:style>
  <w:style w:type="paragraph" w:styleId="7">
    <w:name w:val="Date"/>
    <w:basedOn w:val="1"/>
    <w:next w:val="1"/>
    <w:qFormat/>
    <w:uiPriority w:val="0"/>
    <w:pPr>
      <w:ind w:left="2500" w:leftChars="2500"/>
    </w:pPr>
  </w:style>
  <w:style w:type="paragraph" w:styleId="8">
    <w:name w:val="endnote text"/>
    <w:basedOn w:val="1"/>
    <w:qFormat/>
    <w:uiPriority w:val="0"/>
    <w:pPr>
      <w:snapToGrid w:val="0"/>
      <w:jc w:val="left"/>
    </w:pPr>
  </w:style>
  <w:style w:type="paragraph" w:styleId="9">
    <w:name w:val="Balloon Text"/>
    <w:basedOn w:val="1"/>
    <w:qFormat/>
    <w:uiPriority w:val="0"/>
    <w:pPr>
      <w:widowControl/>
      <w:adjustRightInd w:val="0"/>
      <w:snapToGrid w:val="0"/>
      <w:jc w:val="left"/>
    </w:pPr>
    <w:rPr>
      <w:rFonts w:ascii="Tahoma" w:hAnsi="Tahoma" w:eastAsia="微软雅黑"/>
      <w:kern w:val="0"/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eastAsia="宋体" w:cs="宋体"/>
      <w:kern w:val="0"/>
      <w:sz w:val="24"/>
      <w:szCs w:val="24"/>
    </w:rPr>
  </w:style>
  <w:style w:type="paragraph" w:styleId="13">
    <w:name w:val="annotation subject"/>
    <w:basedOn w:val="5"/>
    <w:next w:val="5"/>
    <w:qFormat/>
    <w:uiPriority w:val="0"/>
    <w:rPr>
      <w:b/>
      <w:bCs/>
    </w:rPr>
  </w:style>
  <w:style w:type="paragraph" w:styleId="14">
    <w:name w:val="Body Text First Indent 2"/>
    <w:basedOn w:val="6"/>
    <w:qFormat/>
    <w:uiPriority w:val="0"/>
    <w:pPr>
      <w:widowControl w:val="0"/>
      <w:adjustRightInd/>
      <w:snapToGrid/>
      <w:spacing w:after="0" w:line="357" w:lineRule="atLeast"/>
      <w:ind w:firstLine="420"/>
      <w:jc w:val="both"/>
      <w:textAlignment w:val="baseline"/>
    </w:pPr>
    <w:rPr>
      <w:rFonts w:ascii="仿宋_GB2312" w:eastAsia="仿宋_GB2312" w:cs="仿宋_GB2312"/>
      <w:color w:val="000000"/>
      <w:kern w:val="2"/>
      <w:sz w:val="30"/>
      <w:szCs w:val="30"/>
    </w:rPr>
  </w:style>
  <w:style w:type="character" w:styleId="17">
    <w:name w:val="Strong"/>
    <w:basedOn w:val="16"/>
    <w:qFormat/>
    <w:uiPriority w:val="0"/>
    <w:rPr>
      <w:b/>
    </w:rPr>
  </w:style>
  <w:style w:type="character" w:styleId="18">
    <w:name w:val="FollowedHyperlink"/>
    <w:basedOn w:val="16"/>
    <w:qFormat/>
    <w:uiPriority w:val="0"/>
    <w:rPr>
      <w:rFonts w:ascii="微软雅黑" w:eastAsia="微软雅黑" w:cs="微软雅黑"/>
      <w:color w:val="333333"/>
      <w:u w:val="none"/>
    </w:rPr>
  </w:style>
  <w:style w:type="character" w:styleId="19">
    <w:name w:val="Emphasis"/>
    <w:basedOn w:val="16"/>
    <w:qFormat/>
    <w:uiPriority w:val="0"/>
  </w:style>
  <w:style w:type="character" w:styleId="20">
    <w:name w:val="HTML Definition"/>
    <w:basedOn w:val="16"/>
    <w:qFormat/>
    <w:uiPriority w:val="0"/>
  </w:style>
  <w:style w:type="character" w:styleId="21">
    <w:name w:val="HTML Variable"/>
    <w:basedOn w:val="16"/>
    <w:qFormat/>
    <w:uiPriority w:val="0"/>
  </w:style>
  <w:style w:type="character" w:styleId="22">
    <w:name w:val="Hyperlink"/>
    <w:basedOn w:val="16"/>
    <w:qFormat/>
    <w:uiPriority w:val="0"/>
    <w:rPr>
      <w:rFonts w:ascii="微软雅黑" w:eastAsia="微软雅黑" w:cs="微软雅黑"/>
      <w:color w:val="333333"/>
      <w:u w:val="none"/>
    </w:rPr>
  </w:style>
  <w:style w:type="character" w:styleId="23">
    <w:name w:val="HTML Code"/>
    <w:basedOn w:val="16"/>
    <w:qFormat/>
    <w:uiPriority w:val="0"/>
    <w:rPr>
      <w:rFonts w:ascii="Courier New" w:hAnsi="Courier New"/>
      <w:sz w:val="20"/>
    </w:rPr>
  </w:style>
  <w:style w:type="character" w:styleId="24">
    <w:name w:val="annotation reference"/>
    <w:basedOn w:val="16"/>
    <w:qFormat/>
    <w:uiPriority w:val="0"/>
    <w:rPr>
      <w:sz w:val="21"/>
      <w:szCs w:val="21"/>
    </w:rPr>
  </w:style>
  <w:style w:type="character" w:styleId="25">
    <w:name w:val="HTML Cite"/>
    <w:basedOn w:val="16"/>
    <w:qFormat/>
    <w:uiPriority w:val="0"/>
  </w:style>
  <w:style w:type="paragraph" w:customStyle="1" w:styleId="26">
    <w:name w:val="标题 21"/>
    <w:basedOn w:val="1"/>
    <w:next w:val="1"/>
    <w:qFormat/>
    <w:uiPriority w:val="0"/>
    <w:pPr>
      <w:keepNext/>
      <w:keepLines/>
      <w:widowControl/>
      <w:adjustRightInd w:val="0"/>
      <w:snapToGrid w:val="0"/>
      <w:spacing w:before="260" w:after="260" w:line="415" w:lineRule="auto"/>
      <w:jc w:val="left"/>
      <w:outlineLvl w:val="1"/>
    </w:pPr>
    <w:rPr>
      <w:rFonts w:ascii="Cambria" w:hAnsi="Cambria" w:eastAsia="宋体" w:cs="Times New Roman"/>
      <w:b/>
      <w:bCs/>
      <w:kern w:val="0"/>
      <w:sz w:val="32"/>
      <w:szCs w:val="32"/>
    </w:rPr>
  </w:style>
  <w:style w:type="paragraph" w:customStyle="1" w:styleId="27">
    <w:name w:val="_Style 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8"/>
      <w:lang w:val="en-US" w:eastAsia="zh-CN" w:bidi="ar-SA"/>
    </w:rPr>
  </w:style>
  <w:style w:type="paragraph" w:customStyle="1" w:styleId="28">
    <w:name w:val="页脚1"/>
    <w:basedOn w:val="1"/>
    <w:next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29">
    <w:name w:val="页眉1"/>
    <w:basedOn w:val="1"/>
    <w:next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30">
    <w:name w:val="标题 2 字符1"/>
    <w:basedOn w:val="16"/>
    <w:qFormat/>
    <w:uiPriority w:val="0"/>
    <w:rPr>
      <w:rFonts w:ascii="等线 Light" w:eastAsia="等线 Light" w:cs="Times New Roman"/>
      <w:b/>
      <w:bCs/>
      <w:sz w:val="32"/>
      <w:szCs w:val="32"/>
    </w:rPr>
  </w:style>
  <w:style w:type="character" w:customStyle="1" w:styleId="31">
    <w:name w:val="layui-this"/>
    <w:basedOn w:val="16"/>
    <w:qFormat/>
    <w:uiPriority w:val="0"/>
    <w:rPr>
      <w:bdr w:val="single" w:color="EEEEEE" w:sz="6" w:space="0"/>
      <w:shd w:val="clear" w:color="auto" w:fill="FFFFFF"/>
    </w:rPr>
  </w:style>
  <w:style w:type="character" w:customStyle="1" w:styleId="32">
    <w:name w:val="first-child"/>
    <w:basedOn w:val="16"/>
    <w:qFormat/>
    <w:uiPriority w:val="0"/>
  </w:style>
  <w:style w:type="character" w:customStyle="1" w:styleId="33">
    <w:name w:val="ivu-radio+*"/>
    <w:basedOn w:val="16"/>
    <w:qFormat/>
    <w:uiPriority w:val="0"/>
  </w:style>
  <w:style w:type="character" w:customStyle="1" w:styleId="34">
    <w:name w:val="ivu-date-picker-cells-cell"/>
    <w:basedOn w:val="16"/>
    <w:qFormat/>
    <w:uiPriority w:val="0"/>
  </w:style>
  <w:style w:type="character" w:customStyle="1" w:styleId="35">
    <w:name w:val="ui-state-disabled"/>
    <w:basedOn w:val="16"/>
    <w:qFormat/>
    <w:uiPriority w:val="0"/>
  </w:style>
  <w:style w:type="character" w:customStyle="1" w:styleId="36">
    <w:name w:val="cur"/>
    <w:basedOn w:val="16"/>
    <w:qFormat/>
    <w:uiPriority w:val="0"/>
    <w:rPr>
      <w:color w:val="C40001"/>
    </w:rPr>
  </w:style>
  <w:style w:type="character" w:customStyle="1" w:styleId="37">
    <w:name w:val="cur1"/>
    <w:basedOn w:val="16"/>
    <w:qFormat/>
    <w:uiPriority w:val="0"/>
    <w:rPr>
      <w:color w:val="C40001"/>
    </w:rPr>
  </w:style>
  <w:style w:type="character" w:customStyle="1" w:styleId="38">
    <w:name w:val="p90"/>
    <w:basedOn w:val="16"/>
    <w:qFormat/>
    <w:uiPriority w:val="0"/>
  </w:style>
  <w:style w:type="character" w:customStyle="1" w:styleId="39">
    <w:name w:val="pchide2"/>
    <w:basedOn w:val="16"/>
    <w:qFormat/>
    <w:uiPriority w:val="0"/>
    <w:rPr>
      <w:color w:val="999999"/>
    </w:rPr>
  </w:style>
  <w:style w:type="character" w:customStyle="1" w:styleId="40">
    <w:name w:val="zhankai"/>
    <w:basedOn w:val="16"/>
    <w:qFormat/>
    <w:uiPriority w:val="0"/>
  </w:style>
  <w:style w:type="character" w:customStyle="1" w:styleId="41">
    <w:name w:val="last-child"/>
    <w:basedOn w:val="16"/>
    <w:qFormat/>
    <w:uiPriority w:val="0"/>
  </w:style>
  <w:style w:type="character" w:customStyle="1" w:styleId="42">
    <w:name w:val="last-child1"/>
    <w:basedOn w:val="16"/>
    <w:qFormat/>
    <w:uiPriority w:val="0"/>
  </w:style>
  <w:style w:type="character" w:customStyle="1" w:styleId="43">
    <w:name w:val="hover9"/>
    <w:basedOn w:val="16"/>
    <w:qFormat/>
    <w:uiPriority w:val="0"/>
    <w:rPr>
      <w:color w:val="C40001"/>
    </w:rPr>
  </w:style>
  <w:style w:type="character" w:customStyle="1" w:styleId="44">
    <w:name w:val="pchide"/>
    <w:basedOn w:val="16"/>
    <w:qFormat/>
    <w:uiPriority w:val="0"/>
    <w:rPr>
      <w:color w:val="999999"/>
    </w:rPr>
  </w:style>
  <w:style w:type="character" w:customStyle="1" w:styleId="45">
    <w:name w:val="cur2"/>
    <w:basedOn w:val="16"/>
    <w:qFormat/>
    <w:uiPriority w:val="0"/>
    <w:rPr>
      <w:color w:val="C40001"/>
    </w:rPr>
  </w:style>
  <w:style w:type="character" w:customStyle="1" w:styleId="46">
    <w:name w:val="cur3"/>
    <w:basedOn w:val="16"/>
    <w:qFormat/>
    <w:uiPriority w:val="0"/>
    <w:rPr>
      <w:color w:val="C40001"/>
    </w:rPr>
  </w:style>
  <w:style w:type="character" w:customStyle="1" w:styleId="47">
    <w:name w:val="hover8"/>
    <w:basedOn w:val="16"/>
    <w:qFormat/>
    <w:uiPriority w:val="0"/>
    <w:rPr>
      <w:color w:val="C40001"/>
    </w:rPr>
  </w:style>
  <w:style w:type="character" w:customStyle="1" w:styleId="48">
    <w:name w:val="page-article"/>
    <w:basedOn w:val="16"/>
    <w:qFormat/>
    <w:uiPriority w:val="0"/>
    <w:rPr>
      <w:bdr w:val="single" w:color="146EBA" w:sz="6" w:space="0"/>
    </w:rPr>
  </w:style>
  <w:style w:type="character" w:customStyle="1" w:styleId="49">
    <w:name w:val="hover"/>
    <w:basedOn w:val="16"/>
    <w:qFormat/>
    <w:uiPriority w:val="0"/>
    <w:rPr>
      <w:color w:val="015293"/>
    </w:rPr>
  </w:style>
  <w:style w:type="character" w:customStyle="1" w:styleId="50">
    <w:name w:val="m01"/>
    <w:basedOn w:val="16"/>
    <w:qFormat/>
    <w:uiPriority w:val="0"/>
  </w:style>
  <w:style w:type="character" w:customStyle="1" w:styleId="51">
    <w:name w:val="m011"/>
    <w:basedOn w:val="16"/>
    <w:qFormat/>
    <w:uiPriority w:val="0"/>
  </w:style>
  <w:style w:type="character" w:customStyle="1" w:styleId="52">
    <w:name w:val="more4"/>
    <w:basedOn w:val="16"/>
    <w:qFormat/>
    <w:uiPriority w:val="0"/>
    <w:rPr>
      <w:color w:val="666666"/>
      <w:sz w:val="18"/>
      <w:szCs w:val="18"/>
    </w:rPr>
  </w:style>
  <w:style w:type="character" w:customStyle="1" w:styleId="53">
    <w:name w:val="name"/>
    <w:basedOn w:val="16"/>
    <w:qFormat/>
    <w:uiPriority w:val="0"/>
    <w:rPr>
      <w:color w:val="6A6A6A"/>
      <w:u w:val="single"/>
    </w:rPr>
  </w:style>
  <w:style w:type="character" w:customStyle="1" w:styleId="54">
    <w:name w:val="dates"/>
    <w:basedOn w:val="16"/>
    <w:qFormat/>
    <w:uiPriority w:val="0"/>
  </w:style>
  <w:style w:type="character" w:customStyle="1" w:styleId="55">
    <w:name w:val="laypage_curr"/>
    <w:basedOn w:val="16"/>
    <w:qFormat/>
    <w:uiPriority w:val="0"/>
    <w:rPr>
      <w:color w:val="FFFDF4"/>
      <w:shd w:val="clear" w:color="auto" w:fill="0B67A6"/>
    </w:rPr>
  </w:style>
  <w:style w:type="character" w:customStyle="1" w:styleId="56">
    <w:name w:val="tabg"/>
    <w:basedOn w:val="16"/>
    <w:qFormat/>
    <w:uiPriority w:val="0"/>
    <w:rPr>
      <w:color w:val="FFFFFF"/>
      <w:sz w:val="27"/>
      <w:szCs w:val="27"/>
    </w:rPr>
  </w:style>
  <w:style w:type="character" w:customStyle="1" w:styleId="57">
    <w:name w:val="bg01"/>
    <w:basedOn w:val="16"/>
    <w:qFormat/>
    <w:uiPriority w:val="0"/>
  </w:style>
  <w:style w:type="character" w:customStyle="1" w:styleId="58">
    <w:name w:val="bg02"/>
    <w:basedOn w:val="16"/>
    <w:qFormat/>
    <w:uiPriority w:val="0"/>
  </w:style>
  <w:style w:type="character" w:customStyle="1" w:styleId="59">
    <w:name w:val="font"/>
    <w:basedOn w:val="16"/>
    <w:qFormat/>
    <w:uiPriority w:val="0"/>
  </w:style>
  <w:style w:type="character" w:customStyle="1" w:styleId="60">
    <w:name w:val="font1"/>
    <w:basedOn w:val="16"/>
    <w:qFormat/>
    <w:uiPriority w:val="0"/>
  </w:style>
  <w:style w:type="character" w:customStyle="1" w:styleId="61">
    <w:name w:val="font2"/>
    <w:basedOn w:val="16"/>
    <w:qFormat/>
    <w:uiPriority w:val="0"/>
  </w:style>
  <w:style w:type="character" w:customStyle="1" w:styleId="62">
    <w:name w:val="font3"/>
    <w:basedOn w:val="16"/>
    <w:qFormat/>
    <w:uiPriority w:val="0"/>
  </w:style>
  <w:style w:type="character" w:customStyle="1" w:styleId="63">
    <w:name w:val="hover19"/>
    <w:basedOn w:val="16"/>
    <w:qFormat/>
    <w:uiPriority w:val="0"/>
    <w:rPr>
      <w:color w:val="015293"/>
    </w:rPr>
  </w:style>
  <w:style w:type="paragraph" w:styleId="64">
    <w:name w:val="List Paragraph"/>
    <w:basedOn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13</Pages>
  <Words>3733</Words>
  <Characters>4059</Characters>
  <Lines>1191</Lines>
  <Paragraphs>605</Paragraphs>
  <TotalTime>9</TotalTime>
  <ScaleCrop>false</ScaleCrop>
  <LinksUpToDate>false</LinksUpToDate>
  <CharactersWithSpaces>4061</CharactersWithSpaces>
  <Application>WPS Office_11.8.2.10624_F1E327BC-269C-435d-A152-05C5408002CA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2023-05-14T23:54:00Z</dcterms:created>
  <dc:creator>李杰</dc:creator>
  <cp:lastModifiedBy>ysgz</cp:lastModifiedBy>
  <cp:lastPrinted>2022-03-15T23:24:00Z</cp:lastPrinted>
  <dcterms:modified xsi:type="dcterms:W3CDTF">2025-08-05T09:02:44Z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2052-11.8.2.10624</vt:lpwstr>
  </property>
  <property fmtid="{D5CDD505-2E9C-101B-9397-08002B2CF9AE}" pid="3" name="ICV">
    <vt:lpwstr>A1F2650741C140E9B8615B9B20BD0662_13</vt:lpwstr>
  </property>
  <property fmtid="{D5CDD505-2E9C-101B-9397-08002B2CF9AE}" pid="4" name="KSOTemplateDocerSaveRecord">
    <vt:lpwstr>eyJoZGlkIjoiYmM1ZmI4YzM5NTUyYWNiNTIzM2ZlMTY2MWZlMjc2ZWYiLCJ1c2VySWQiOiIyNTYwNjA0OCJ9</vt:lpwstr>
  </property>
</Properties>
</file>