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1744CE">
      <w:pPr>
        <w:adjustRightInd w:val="0"/>
        <w:snapToGrid w:val="0"/>
        <w:spacing w:line="560" w:lineRule="exact"/>
        <w:jc w:val="center"/>
        <w:rPr>
          <w:rFonts w:ascii="Times New Roman" w:eastAsia="方正小标宋简体" w:cs="Times New Roman"/>
          <w:sz w:val="44"/>
          <w:szCs w:val="44"/>
        </w:rPr>
      </w:pPr>
      <w:bookmarkStart w:id="6" w:name="_GoBack"/>
      <w:bookmarkEnd w:id="6"/>
    </w:p>
    <w:p w14:paraId="4950E3CA">
      <w:pPr>
        <w:adjustRightInd w:val="0"/>
        <w:snapToGrid w:val="0"/>
        <w:spacing w:line="560" w:lineRule="exact"/>
        <w:jc w:val="center"/>
        <w:rPr>
          <w:rFonts w:ascii="Times New Roman" w:eastAsia="方正小标宋简体" w:cs="Times New Roman"/>
          <w:sz w:val="44"/>
          <w:szCs w:val="44"/>
        </w:rPr>
      </w:pPr>
      <w:r>
        <w:rPr>
          <w:rFonts w:ascii="Times New Roman" w:eastAsia="方正小标宋简体" w:cs="Times New Roman"/>
          <w:sz w:val="44"/>
          <w:szCs w:val="44"/>
        </w:rPr>
        <w:t>贵州省水污染防治资金转移支付</w:t>
      </w:r>
    </w:p>
    <w:p w14:paraId="2800372C">
      <w:pPr>
        <w:adjustRightInd w:val="0"/>
        <w:snapToGrid w:val="0"/>
        <w:spacing w:line="560" w:lineRule="exact"/>
        <w:jc w:val="center"/>
        <w:rPr>
          <w:rFonts w:ascii="Times New Roman" w:eastAsia="方正小标宋简体" w:cs="Times New Roman"/>
          <w:sz w:val="44"/>
          <w:szCs w:val="44"/>
        </w:rPr>
      </w:pPr>
      <w:r>
        <w:rPr>
          <w:rFonts w:ascii="Times New Roman" w:eastAsia="方正小标宋简体" w:cs="Times New Roman"/>
          <w:sz w:val="44"/>
          <w:szCs w:val="44"/>
        </w:rPr>
        <w:t>202</w:t>
      </w:r>
      <w:r>
        <w:rPr>
          <w:rFonts w:hint="eastAsia" w:ascii="Times New Roman" w:eastAsia="方正小标宋简体" w:cs="Times New Roman"/>
          <w:sz w:val="44"/>
          <w:szCs w:val="44"/>
        </w:rPr>
        <w:t>4</w:t>
      </w:r>
      <w:r>
        <w:rPr>
          <w:rFonts w:ascii="Times New Roman" w:eastAsia="方正小标宋简体" w:cs="Times New Roman"/>
          <w:sz w:val="44"/>
          <w:szCs w:val="44"/>
        </w:rPr>
        <w:t>年度绩效自评报告</w:t>
      </w:r>
    </w:p>
    <w:p w14:paraId="01322F04">
      <w:pPr>
        <w:keepNext/>
        <w:keepLines/>
        <w:widowControl/>
        <w:adjustRightInd w:val="0"/>
        <w:snapToGrid w:val="0"/>
        <w:spacing w:line="560" w:lineRule="exact"/>
        <w:ind w:firstLine="640" w:firstLineChars="200"/>
        <w:outlineLvl w:val="0"/>
        <w:rPr>
          <w:rFonts w:ascii="Times New Roman" w:eastAsia="黑体" w:cs="Times New Roman"/>
          <w:kern w:val="44"/>
          <w:sz w:val="32"/>
          <w:szCs w:val="32"/>
        </w:rPr>
      </w:pPr>
    </w:p>
    <w:p w14:paraId="01C3F57D">
      <w:pPr>
        <w:keepNext/>
        <w:keepLines/>
        <w:widowControl/>
        <w:adjustRightInd w:val="0"/>
        <w:snapToGrid w:val="0"/>
        <w:spacing w:line="560" w:lineRule="exact"/>
        <w:ind w:firstLine="640" w:firstLineChars="200"/>
        <w:outlineLvl w:val="0"/>
        <w:rPr>
          <w:rFonts w:ascii="Times New Roman" w:eastAsia="黑体" w:cs="Times New Roman"/>
          <w:kern w:val="44"/>
          <w:sz w:val="32"/>
          <w:szCs w:val="32"/>
        </w:rPr>
      </w:pPr>
      <w:r>
        <w:rPr>
          <w:rFonts w:ascii="Times New Roman" w:eastAsia="黑体" w:cs="Times New Roman"/>
          <w:kern w:val="44"/>
          <w:sz w:val="32"/>
          <w:szCs w:val="32"/>
        </w:rPr>
        <w:t>一、绩效目标分解下达情况</w:t>
      </w:r>
    </w:p>
    <w:p w14:paraId="11883E06">
      <w:pPr>
        <w:keepNext/>
        <w:keepLines/>
        <w:widowControl/>
        <w:adjustRightInd w:val="0"/>
        <w:snapToGrid w:val="0"/>
        <w:spacing w:line="560" w:lineRule="exact"/>
        <w:ind w:firstLine="640" w:firstLineChars="200"/>
        <w:outlineLvl w:val="1"/>
        <w:rPr>
          <w:rFonts w:ascii="Times New Roman" w:eastAsia="楷体" w:cs="Times New Roman"/>
          <w:kern w:val="44"/>
          <w:sz w:val="32"/>
          <w:szCs w:val="32"/>
        </w:rPr>
      </w:pPr>
      <w:r>
        <w:rPr>
          <w:rFonts w:ascii="Times New Roman" w:eastAsia="楷体" w:cs="Times New Roman"/>
          <w:kern w:val="44"/>
          <w:sz w:val="32"/>
          <w:szCs w:val="32"/>
        </w:rPr>
        <w:t>（一）中央下达水污染防治资金预算和绩效目标情况</w:t>
      </w:r>
    </w:p>
    <w:p w14:paraId="47C497AA">
      <w:pPr>
        <w:adjustRightInd w:val="0"/>
        <w:snapToGrid w:val="0"/>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sz w:val="32"/>
          <w:szCs w:val="32"/>
        </w:rPr>
        <w:t>根据《财政部关于提前下达2024年水污染防治资金预算的通知》（财资环〔2023〕111号）《财政部关于下达2024年水污染防治资金预算（第二批）的通知》（财资环〔2024〕62号），分别下达贵州省2024年度水污染防治资金预算54167万元和20819万元，合计74986万元，同步</w:t>
      </w:r>
      <w:r>
        <w:rPr>
          <w:rFonts w:hint="eastAsia" w:ascii="仿宋_GB2312" w:hAnsi="仿宋_GB2312" w:eastAsia="仿宋_GB2312" w:cs="仿宋_GB2312"/>
          <w:sz w:val="32"/>
        </w:rPr>
        <w:t>下达区域绩效目标。总体目标：</w:t>
      </w:r>
      <w:bookmarkStart w:id="0" w:name="OLE_LINK39"/>
      <w:bookmarkStart w:id="1" w:name="OLE_LINK38"/>
      <w:r>
        <w:rPr>
          <w:rFonts w:hint="eastAsia" w:ascii="仿宋_GB2312" w:hAnsi="仿宋_GB2312" w:eastAsia="仿宋_GB2312" w:cs="仿宋_GB2312"/>
          <w:kern w:val="0"/>
          <w:sz w:val="32"/>
          <w:szCs w:val="32"/>
        </w:rPr>
        <w:t>2024年全省国控断面水质达到或好于Ⅲ类水体比例98.3%，无劣V类水体；县级及以上城市集中式饮用水水源水质达到或优于Ⅲ类的比例为100%。地下水环境质量考核目标达到国家下达目标要求。</w:t>
      </w:r>
      <w:bookmarkEnd w:id="0"/>
      <w:bookmarkEnd w:id="1"/>
      <w:r>
        <w:rPr>
          <w:rFonts w:hint="eastAsia" w:ascii="仿宋_GB2312" w:hAnsi="仿宋_GB2312" w:eastAsia="仿宋_GB2312" w:cs="仿宋_GB2312"/>
          <w:kern w:val="0"/>
          <w:sz w:val="32"/>
          <w:szCs w:val="32"/>
        </w:rPr>
        <w:t xml:space="preserve"> </w:t>
      </w:r>
    </w:p>
    <w:p w14:paraId="2396559A">
      <w:pPr>
        <w:keepNext/>
        <w:keepLines/>
        <w:widowControl/>
        <w:adjustRightInd w:val="0"/>
        <w:snapToGrid w:val="0"/>
        <w:spacing w:line="560" w:lineRule="exact"/>
        <w:ind w:firstLine="640" w:firstLineChars="200"/>
        <w:outlineLvl w:val="1"/>
        <w:rPr>
          <w:rFonts w:ascii="Times New Roman" w:eastAsia="楷体" w:cs="Times New Roman"/>
          <w:kern w:val="44"/>
          <w:sz w:val="32"/>
          <w:szCs w:val="32"/>
        </w:rPr>
      </w:pPr>
      <w:r>
        <w:rPr>
          <w:rFonts w:ascii="Times New Roman" w:eastAsia="楷体" w:cs="Times New Roman"/>
          <w:kern w:val="44"/>
          <w:sz w:val="32"/>
          <w:szCs w:val="32"/>
        </w:rPr>
        <w:t>（二）省内资金安排、分解下达预算和绩效目标情况</w:t>
      </w:r>
    </w:p>
    <w:p w14:paraId="0859E10B">
      <w:pPr>
        <w:pStyle w:val="12"/>
        <w:adjustRightInd w:val="0"/>
        <w:snapToGrid w:val="0"/>
        <w:spacing w:before="0" w:beforeAutospacing="0" w:after="0" w:afterAutospacing="0" w:line="560" w:lineRule="exact"/>
        <w:ind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根据中央水污染防治项目储备库情况，择优确定支持项目</w:t>
      </w:r>
      <w:r>
        <w:rPr>
          <w:rFonts w:hint="eastAsia" w:ascii="仿宋_GB2312" w:hAnsi="仿宋_GB2312" w:eastAsia="仿宋_GB2312" w:cs="仿宋_GB2312"/>
          <w:sz w:val="32"/>
          <w:szCs w:val="32"/>
        </w:rPr>
        <w:t>46个，按程序审定后</w:t>
      </w:r>
      <w:r>
        <w:rPr>
          <w:rFonts w:hint="eastAsia" w:ascii="仿宋_GB2312" w:hAnsi="仿宋_GB2312" w:eastAsia="仿宋_GB2312" w:cs="仿宋_GB2312"/>
          <w:kern w:val="2"/>
          <w:sz w:val="32"/>
          <w:szCs w:val="32"/>
        </w:rPr>
        <w:t>，于2024年2月8日印发《省财政厅关于下达2024年中央水污染防治资金预算（第一批）的通知》（黔财资环〔2024〕12号），</w:t>
      </w:r>
      <w:bookmarkStart w:id="2" w:name="_Hlk164953366"/>
      <w:r>
        <w:rPr>
          <w:rFonts w:hint="eastAsia" w:ascii="仿宋_GB2312" w:hAnsi="仿宋_GB2312" w:eastAsia="仿宋_GB2312" w:cs="仿宋_GB2312"/>
          <w:kern w:val="2"/>
          <w:sz w:val="32"/>
          <w:szCs w:val="32"/>
        </w:rPr>
        <w:t>分解下达预算资金</w:t>
      </w:r>
      <w:bookmarkStart w:id="3" w:name="OLE_LINK1"/>
      <w:bookmarkStart w:id="4" w:name="OLE_LINK2"/>
      <w:r>
        <w:rPr>
          <w:rFonts w:hint="eastAsia" w:ascii="仿宋_GB2312" w:hAnsi="仿宋_GB2312" w:eastAsia="仿宋_GB2312" w:cs="仿宋_GB2312"/>
          <w:kern w:val="2"/>
          <w:sz w:val="32"/>
          <w:szCs w:val="32"/>
        </w:rPr>
        <w:t>54167万元</w:t>
      </w:r>
      <w:bookmarkEnd w:id="2"/>
      <w:bookmarkEnd w:id="3"/>
      <w:bookmarkEnd w:id="4"/>
      <w:r>
        <w:rPr>
          <w:rFonts w:hint="eastAsia" w:ascii="仿宋_GB2312" w:hAnsi="仿宋_GB2312" w:eastAsia="仿宋_GB2312" w:cs="仿宋_GB2312"/>
          <w:kern w:val="2"/>
          <w:sz w:val="32"/>
          <w:szCs w:val="32"/>
        </w:rPr>
        <w:t>；于2024年8月22日印发《省财政厅 省生态环境厅关于下达2024年中央水污染防治资金预算（第二批）的通知》（黔财资环〔2024〕77号），分解下达预算资金</w:t>
      </w:r>
      <w:bookmarkStart w:id="5" w:name="OLE_LINK5"/>
      <w:r>
        <w:rPr>
          <w:rFonts w:hint="eastAsia" w:ascii="仿宋_GB2312" w:hAnsi="仿宋_GB2312" w:eastAsia="仿宋_GB2312" w:cs="仿宋_GB2312"/>
          <w:kern w:val="2"/>
          <w:sz w:val="32"/>
          <w:szCs w:val="32"/>
        </w:rPr>
        <w:t>20819</w:t>
      </w:r>
      <w:bookmarkEnd w:id="5"/>
      <w:r>
        <w:rPr>
          <w:rFonts w:hint="eastAsia" w:ascii="仿宋_GB2312" w:hAnsi="仿宋_GB2312" w:eastAsia="仿宋_GB2312" w:cs="仿宋_GB2312"/>
          <w:kern w:val="2"/>
          <w:sz w:val="32"/>
          <w:szCs w:val="32"/>
        </w:rPr>
        <w:t>万元。2024年共分解下达74986万元。水污染防治资金至项目所在市（州）财政，同步下达项目绩效目标表。具体分配情况如下：</w:t>
      </w:r>
    </w:p>
    <w:p w14:paraId="4E8BE2A6">
      <w:pPr>
        <w:pStyle w:val="12"/>
        <w:adjustRightInd w:val="0"/>
        <w:snapToGrid w:val="0"/>
        <w:spacing w:before="0" w:beforeAutospacing="0" w:after="0" w:afterAutospacing="0" w:line="580" w:lineRule="exact"/>
        <w:ind w:firstLine="420" w:firstLineChars="200"/>
        <w:jc w:val="right"/>
        <w:rPr>
          <w:rFonts w:ascii="Times New Roman" w:eastAsia="仿宋_GB2312" w:cs="Times New Roman"/>
          <w:kern w:val="2"/>
          <w:sz w:val="21"/>
          <w:szCs w:val="21"/>
        </w:rPr>
      </w:pPr>
      <w:r>
        <w:rPr>
          <w:rFonts w:ascii="Times New Roman" w:eastAsia="仿宋_GB2312" w:cs="Times New Roman"/>
          <w:kern w:val="2"/>
          <w:sz w:val="21"/>
          <w:szCs w:val="21"/>
        </w:rPr>
        <w:t>单位：万元</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27"/>
        <w:gridCol w:w="2506"/>
        <w:gridCol w:w="2695"/>
        <w:gridCol w:w="1842"/>
        <w:gridCol w:w="1388"/>
      </w:tblGrid>
      <w:tr w14:paraId="7210D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0" w:hRule="atLeast"/>
          <w:jc w:val="center"/>
        </w:trPr>
        <w:tc>
          <w:tcPr>
            <w:tcW w:w="29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32D8EF0">
            <w:pPr>
              <w:widowControl/>
              <w:spacing w:line="360" w:lineRule="exact"/>
              <w:jc w:val="center"/>
              <w:rPr>
                <w:rFonts w:ascii="Times New Roman" w:eastAsia="仿宋_GB2312" w:cs="Times New Roman"/>
                <w:b/>
                <w:bCs/>
                <w:kern w:val="0"/>
                <w:szCs w:val="21"/>
              </w:rPr>
            </w:pPr>
            <w:r>
              <w:rPr>
                <w:rFonts w:ascii="Times New Roman" w:eastAsia="仿宋_GB2312" w:cs="Times New Roman"/>
                <w:b/>
                <w:bCs/>
                <w:kern w:val="0"/>
                <w:szCs w:val="21"/>
              </w:rPr>
              <w:t>序号</w:t>
            </w:r>
          </w:p>
        </w:tc>
        <w:tc>
          <w:tcPr>
            <w:tcW w:w="139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4479070">
            <w:pPr>
              <w:widowControl/>
              <w:spacing w:line="360" w:lineRule="exact"/>
              <w:jc w:val="center"/>
              <w:rPr>
                <w:rFonts w:ascii="Times New Roman" w:eastAsia="仿宋_GB2312" w:cs="Times New Roman"/>
                <w:b/>
                <w:bCs/>
                <w:kern w:val="0"/>
                <w:szCs w:val="21"/>
              </w:rPr>
            </w:pPr>
            <w:r>
              <w:rPr>
                <w:rFonts w:ascii="Times New Roman" w:eastAsia="仿宋_GB2312" w:cs="Times New Roman"/>
                <w:b/>
                <w:bCs/>
                <w:kern w:val="0"/>
                <w:szCs w:val="21"/>
              </w:rPr>
              <w:t>市（州）</w:t>
            </w:r>
          </w:p>
        </w:tc>
        <w:tc>
          <w:tcPr>
            <w:tcW w:w="15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BD275CD">
            <w:pPr>
              <w:widowControl/>
              <w:spacing w:line="360" w:lineRule="exact"/>
              <w:jc w:val="center"/>
              <w:rPr>
                <w:rFonts w:ascii="Times New Roman" w:eastAsia="仿宋_GB2312" w:cs="Times New Roman"/>
                <w:b/>
                <w:bCs/>
                <w:kern w:val="0"/>
                <w:szCs w:val="21"/>
              </w:rPr>
            </w:pPr>
            <w:r>
              <w:rPr>
                <w:rFonts w:ascii="Times New Roman" w:eastAsia="仿宋_GB2312" w:cs="Times New Roman"/>
                <w:b/>
                <w:bCs/>
                <w:kern w:val="0"/>
                <w:szCs w:val="21"/>
              </w:rPr>
              <w:t>县（区）</w:t>
            </w:r>
          </w:p>
        </w:tc>
        <w:tc>
          <w:tcPr>
            <w:tcW w:w="102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7BBE387">
            <w:pPr>
              <w:widowControl/>
              <w:spacing w:line="360" w:lineRule="exact"/>
              <w:jc w:val="center"/>
              <w:rPr>
                <w:rFonts w:ascii="Times New Roman" w:eastAsia="仿宋_GB2312" w:cs="Times New Roman"/>
                <w:b/>
                <w:bCs/>
                <w:kern w:val="0"/>
                <w:szCs w:val="21"/>
              </w:rPr>
            </w:pPr>
            <w:r>
              <w:rPr>
                <w:rFonts w:ascii="Times New Roman" w:eastAsia="仿宋_GB2312" w:cs="Times New Roman"/>
                <w:b/>
                <w:bCs/>
                <w:kern w:val="0"/>
                <w:szCs w:val="21"/>
              </w:rPr>
              <w:t>中央资金</w:t>
            </w:r>
          </w:p>
        </w:tc>
        <w:tc>
          <w:tcPr>
            <w:tcW w:w="775" w:type="pct"/>
            <w:tcBorders>
              <w:top w:val="single" w:color="auto" w:sz="4" w:space="0"/>
              <w:left w:val="single" w:color="auto" w:sz="4" w:space="0"/>
              <w:bottom w:val="single" w:color="auto" w:sz="4" w:space="0"/>
              <w:right w:val="single" w:color="auto" w:sz="4" w:space="0"/>
            </w:tcBorders>
            <w:vAlign w:val="center"/>
          </w:tcPr>
          <w:p w14:paraId="4C092ED5">
            <w:pPr>
              <w:widowControl/>
              <w:spacing w:line="360" w:lineRule="exact"/>
              <w:jc w:val="center"/>
              <w:rPr>
                <w:rFonts w:ascii="Times New Roman" w:eastAsia="仿宋_GB2312" w:cs="Times New Roman"/>
                <w:b/>
                <w:bCs/>
                <w:kern w:val="0"/>
                <w:szCs w:val="21"/>
              </w:rPr>
            </w:pPr>
            <w:r>
              <w:rPr>
                <w:rFonts w:ascii="Times New Roman" w:eastAsia="仿宋_GB2312" w:cs="Times New Roman"/>
                <w:b/>
                <w:bCs/>
                <w:kern w:val="0"/>
                <w:szCs w:val="21"/>
              </w:rPr>
              <w:t>地方资金</w:t>
            </w:r>
          </w:p>
        </w:tc>
      </w:tr>
      <w:tr w14:paraId="717C1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0" w:hRule="atLeast"/>
          <w:jc w:val="center"/>
        </w:trPr>
        <w:tc>
          <w:tcPr>
            <w:tcW w:w="29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48793C5">
            <w:pPr>
              <w:widowControl/>
              <w:spacing w:line="360" w:lineRule="exact"/>
              <w:jc w:val="center"/>
              <w:rPr>
                <w:rFonts w:ascii="Times New Roman" w:eastAsia="仿宋_GB2312" w:cs="Times New Roman"/>
                <w:kern w:val="0"/>
                <w:szCs w:val="21"/>
              </w:rPr>
            </w:pPr>
            <w:r>
              <w:rPr>
                <w:rFonts w:ascii="Times New Roman" w:eastAsia="仿宋_GB2312" w:cs="Times New Roman"/>
                <w:kern w:val="0"/>
                <w:szCs w:val="21"/>
              </w:rPr>
              <w:t>1</w:t>
            </w:r>
          </w:p>
        </w:tc>
        <w:tc>
          <w:tcPr>
            <w:tcW w:w="139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3075B23">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贵州省</w:t>
            </w:r>
          </w:p>
        </w:tc>
        <w:tc>
          <w:tcPr>
            <w:tcW w:w="15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627184E">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省本级</w:t>
            </w:r>
          </w:p>
        </w:tc>
        <w:tc>
          <w:tcPr>
            <w:tcW w:w="102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790CFD1">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1051.8</w:t>
            </w:r>
          </w:p>
        </w:tc>
        <w:tc>
          <w:tcPr>
            <w:tcW w:w="775" w:type="pct"/>
            <w:tcBorders>
              <w:top w:val="single" w:color="auto" w:sz="4" w:space="0"/>
              <w:left w:val="single" w:color="auto" w:sz="4" w:space="0"/>
              <w:bottom w:val="single" w:color="auto" w:sz="4" w:space="0"/>
              <w:right w:val="single" w:color="auto" w:sz="4" w:space="0"/>
            </w:tcBorders>
            <w:vAlign w:val="center"/>
          </w:tcPr>
          <w:p w14:paraId="69FE1D59">
            <w:pPr>
              <w:widowControl/>
              <w:spacing w:line="360" w:lineRule="exact"/>
              <w:jc w:val="center"/>
              <w:rPr>
                <w:rFonts w:ascii="Times New Roman" w:eastAsia="仿宋_GB2312" w:cs="Times New Roman"/>
                <w:bCs/>
                <w:kern w:val="0"/>
                <w:szCs w:val="21"/>
              </w:rPr>
            </w:pPr>
            <w:r>
              <w:rPr>
                <w:rFonts w:ascii="Times New Roman" w:eastAsia="仿宋_GB2312" w:cs="Times New Roman"/>
                <w:bCs/>
                <w:kern w:val="0"/>
                <w:szCs w:val="21"/>
              </w:rPr>
              <w:t>117.044</w:t>
            </w:r>
          </w:p>
        </w:tc>
      </w:tr>
      <w:tr w14:paraId="29026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0" w:hRule="atLeast"/>
          <w:jc w:val="center"/>
        </w:trPr>
        <w:tc>
          <w:tcPr>
            <w:tcW w:w="29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50F19B9">
            <w:pPr>
              <w:widowControl/>
              <w:spacing w:line="360" w:lineRule="exact"/>
              <w:jc w:val="center"/>
              <w:rPr>
                <w:rFonts w:ascii="Times New Roman" w:eastAsia="仿宋_GB2312" w:cs="Times New Roman"/>
                <w:kern w:val="0"/>
                <w:szCs w:val="21"/>
              </w:rPr>
            </w:pPr>
            <w:r>
              <w:rPr>
                <w:rFonts w:ascii="Times New Roman" w:eastAsia="仿宋_GB2312" w:cs="Times New Roman"/>
                <w:kern w:val="0"/>
                <w:szCs w:val="21"/>
              </w:rPr>
              <w:t>2</w:t>
            </w:r>
          </w:p>
        </w:tc>
        <w:tc>
          <w:tcPr>
            <w:tcW w:w="139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4A8B1AA">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贵阳市</w:t>
            </w:r>
          </w:p>
        </w:tc>
        <w:tc>
          <w:tcPr>
            <w:tcW w:w="15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5308D3D">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市本级、白云区、花溪区、修文县</w:t>
            </w:r>
          </w:p>
        </w:tc>
        <w:tc>
          <w:tcPr>
            <w:tcW w:w="102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71F091B">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9375</w:t>
            </w:r>
          </w:p>
        </w:tc>
        <w:tc>
          <w:tcPr>
            <w:tcW w:w="775" w:type="pct"/>
            <w:tcBorders>
              <w:top w:val="single" w:color="auto" w:sz="4" w:space="0"/>
              <w:left w:val="single" w:color="auto" w:sz="4" w:space="0"/>
              <w:bottom w:val="single" w:color="auto" w:sz="4" w:space="0"/>
              <w:right w:val="single" w:color="auto" w:sz="4" w:space="0"/>
            </w:tcBorders>
            <w:vAlign w:val="center"/>
          </w:tcPr>
          <w:p w14:paraId="0DAC1EB7">
            <w:pPr>
              <w:widowControl/>
              <w:spacing w:line="360" w:lineRule="exact"/>
              <w:jc w:val="center"/>
              <w:rPr>
                <w:rFonts w:ascii="Times New Roman" w:eastAsia="仿宋_GB2312" w:cs="Times New Roman"/>
                <w:bCs/>
                <w:kern w:val="0"/>
                <w:szCs w:val="21"/>
              </w:rPr>
            </w:pPr>
            <w:r>
              <w:rPr>
                <w:rFonts w:ascii="Times New Roman" w:eastAsia="仿宋_GB2312" w:cs="Times New Roman"/>
                <w:bCs/>
                <w:kern w:val="0"/>
                <w:szCs w:val="21"/>
              </w:rPr>
              <w:t>2115.67</w:t>
            </w:r>
          </w:p>
        </w:tc>
      </w:tr>
      <w:tr w14:paraId="7757E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9" w:hRule="atLeast"/>
          <w:jc w:val="center"/>
        </w:trPr>
        <w:tc>
          <w:tcPr>
            <w:tcW w:w="29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C463E4F">
            <w:pPr>
              <w:widowControl/>
              <w:spacing w:line="360" w:lineRule="exact"/>
              <w:jc w:val="center"/>
              <w:rPr>
                <w:rFonts w:ascii="Times New Roman" w:eastAsia="仿宋_GB2312" w:cs="Times New Roman"/>
                <w:kern w:val="0"/>
                <w:szCs w:val="21"/>
              </w:rPr>
            </w:pPr>
            <w:r>
              <w:rPr>
                <w:rFonts w:ascii="Times New Roman" w:eastAsia="仿宋_GB2312" w:cs="Times New Roman"/>
                <w:kern w:val="0"/>
                <w:szCs w:val="21"/>
              </w:rPr>
              <w:t>3</w:t>
            </w:r>
          </w:p>
        </w:tc>
        <w:tc>
          <w:tcPr>
            <w:tcW w:w="139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F097AEF">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遵义市</w:t>
            </w:r>
          </w:p>
        </w:tc>
        <w:tc>
          <w:tcPr>
            <w:tcW w:w="15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F72352C">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播州区、汇川区、湄潭县、正安县</w:t>
            </w:r>
          </w:p>
        </w:tc>
        <w:tc>
          <w:tcPr>
            <w:tcW w:w="102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588C7DB">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7185</w:t>
            </w:r>
          </w:p>
        </w:tc>
        <w:tc>
          <w:tcPr>
            <w:tcW w:w="775" w:type="pct"/>
            <w:tcBorders>
              <w:top w:val="single" w:color="auto" w:sz="4" w:space="0"/>
              <w:left w:val="single" w:color="auto" w:sz="4" w:space="0"/>
              <w:bottom w:val="single" w:color="auto" w:sz="4" w:space="0"/>
              <w:right w:val="single" w:color="auto" w:sz="4" w:space="0"/>
            </w:tcBorders>
            <w:vAlign w:val="center"/>
          </w:tcPr>
          <w:p w14:paraId="257278E9">
            <w:pPr>
              <w:widowControl/>
              <w:spacing w:line="360" w:lineRule="exact"/>
              <w:jc w:val="center"/>
              <w:rPr>
                <w:rFonts w:ascii="Times New Roman" w:eastAsia="仿宋_GB2312" w:cs="Times New Roman"/>
                <w:bCs/>
                <w:kern w:val="0"/>
                <w:szCs w:val="21"/>
              </w:rPr>
            </w:pPr>
            <w:r>
              <w:rPr>
                <w:rFonts w:ascii="Times New Roman" w:eastAsia="仿宋_GB2312" w:cs="Times New Roman"/>
                <w:bCs/>
                <w:kern w:val="0"/>
                <w:szCs w:val="21"/>
              </w:rPr>
              <w:t>2831.05</w:t>
            </w:r>
          </w:p>
        </w:tc>
      </w:tr>
      <w:tr w14:paraId="65F67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0" w:hRule="atLeast"/>
          <w:jc w:val="center"/>
        </w:trPr>
        <w:tc>
          <w:tcPr>
            <w:tcW w:w="29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0B37177">
            <w:pPr>
              <w:widowControl/>
              <w:spacing w:line="360" w:lineRule="exact"/>
              <w:jc w:val="center"/>
              <w:rPr>
                <w:rFonts w:ascii="Times New Roman" w:eastAsia="仿宋_GB2312" w:cs="Times New Roman"/>
                <w:kern w:val="0"/>
                <w:szCs w:val="21"/>
              </w:rPr>
            </w:pPr>
            <w:r>
              <w:rPr>
                <w:rFonts w:ascii="Times New Roman" w:eastAsia="仿宋_GB2312" w:cs="Times New Roman"/>
                <w:kern w:val="0"/>
                <w:szCs w:val="21"/>
              </w:rPr>
              <w:t>4</w:t>
            </w:r>
          </w:p>
        </w:tc>
        <w:tc>
          <w:tcPr>
            <w:tcW w:w="139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0553225">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六盘水市</w:t>
            </w:r>
          </w:p>
        </w:tc>
        <w:tc>
          <w:tcPr>
            <w:tcW w:w="15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F6B2035">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市本级、六枝特区、水城县、钟山区</w:t>
            </w:r>
          </w:p>
        </w:tc>
        <w:tc>
          <w:tcPr>
            <w:tcW w:w="102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A7BAAF5">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8179</w:t>
            </w:r>
          </w:p>
        </w:tc>
        <w:tc>
          <w:tcPr>
            <w:tcW w:w="775" w:type="pct"/>
            <w:tcBorders>
              <w:top w:val="single" w:color="auto" w:sz="4" w:space="0"/>
              <w:left w:val="single" w:color="auto" w:sz="4" w:space="0"/>
              <w:bottom w:val="single" w:color="auto" w:sz="4" w:space="0"/>
              <w:right w:val="single" w:color="auto" w:sz="4" w:space="0"/>
            </w:tcBorders>
            <w:vAlign w:val="center"/>
          </w:tcPr>
          <w:p w14:paraId="195172CD">
            <w:pPr>
              <w:widowControl/>
              <w:spacing w:line="360" w:lineRule="exact"/>
              <w:jc w:val="center"/>
              <w:rPr>
                <w:rFonts w:ascii="Times New Roman" w:eastAsia="仿宋_GB2312" w:cs="Times New Roman"/>
                <w:bCs/>
                <w:kern w:val="0"/>
                <w:szCs w:val="21"/>
              </w:rPr>
            </w:pPr>
            <w:r>
              <w:rPr>
                <w:rFonts w:ascii="Times New Roman" w:eastAsia="仿宋_GB2312" w:cs="Times New Roman"/>
                <w:bCs/>
                <w:kern w:val="0"/>
                <w:szCs w:val="21"/>
              </w:rPr>
              <w:t>3507.9</w:t>
            </w:r>
          </w:p>
        </w:tc>
      </w:tr>
      <w:tr w14:paraId="7FDE9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79" w:hRule="atLeast"/>
          <w:jc w:val="center"/>
        </w:trPr>
        <w:tc>
          <w:tcPr>
            <w:tcW w:w="29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EBBAAAD">
            <w:pPr>
              <w:widowControl/>
              <w:spacing w:line="360" w:lineRule="exact"/>
              <w:jc w:val="center"/>
              <w:rPr>
                <w:rFonts w:ascii="Times New Roman" w:eastAsia="仿宋_GB2312" w:cs="Times New Roman"/>
                <w:kern w:val="0"/>
                <w:szCs w:val="21"/>
              </w:rPr>
            </w:pPr>
            <w:r>
              <w:rPr>
                <w:rFonts w:ascii="Times New Roman" w:eastAsia="仿宋_GB2312" w:cs="Times New Roman"/>
                <w:kern w:val="0"/>
                <w:szCs w:val="21"/>
              </w:rPr>
              <w:t>5</w:t>
            </w:r>
          </w:p>
        </w:tc>
        <w:tc>
          <w:tcPr>
            <w:tcW w:w="139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80699B5">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安顺市</w:t>
            </w:r>
          </w:p>
        </w:tc>
        <w:tc>
          <w:tcPr>
            <w:tcW w:w="15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CFA19B5">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平坝区、西秀区、镇宁县</w:t>
            </w:r>
          </w:p>
        </w:tc>
        <w:tc>
          <w:tcPr>
            <w:tcW w:w="102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B8065B0">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7838</w:t>
            </w:r>
          </w:p>
        </w:tc>
        <w:tc>
          <w:tcPr>
            <w:tcW w:w="775" w:type="pct"/>
            <w:tcBorders>
              <w:top w:val="single" w:color="auto" w:sz="4" w:space="0"/>
              <w:left w:val="single" w:color="auto" w:sz="4" w:space="0"/>
              <w:bottom w:val="single" w:color="auto" w:sz="4" w:space="0"/>
              <w:right w:val="single" w:color="auto" w:sz="4" w:space="0"/>
            </w:tcBorders>
            <w:vAlign w:val="center"/>
          </w:tcPr>
          <w:p w14:paraId="6E510521">
            <w:pPr>
              <w:widowControl/>
              <w:spacing w:line="360" w:lineRule="exact"/>
              <w:jc w:val="center"/>
              <w:rPr>
                <w:rFonts w:ascii="Times New Roman" w:eastAsia="仿宋_GB2312" w:cs="Times New Roman"/>
                <w:bCs/>
                <w:kern w:val="0"/>
                <w:szCs w:val="21"/>
              </w:rPr>
            </w:pPr>
            <w:r>
              <w:rPr>
                <w:rFonts w:ascii="Times New Roman" w:eastAsia="仿宋_GB2312" w:cs="Times New Roman"/>
                <w:bCs/>
                <w:kern w:val="0"/>
                <w:szCs w:val="21"/>
              </w:rPr>
              <w:t>2083.13</w:t>
            </w:r>
          </w:p>
        </w:tc>
      </w:tr>
      <w:tr w14:paraId="77CBA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01" w:hRule="atLeast"/>
          <w:jc w:val="center"/>
        </w:trPr>
        <w:tc>
          <w:tcPr>
            <w:tcW w:w="29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FD6920A">
            <w:pPr>
              <w:widowControl/>
              <w:spacing w:line="360" w:lineRule="exact"/>
              <w:jc w:val="center"/>
              <w:rPr>
                <w:rFonts w:ascii="Times New Roman" w:eastAsia="仿宋_GB2312" w:cs="Times New Roman"/>
                <w:kern w:val="0"/>
                <w:szCs w:val="21"/>
              </w:rPr>
            </w:pPr>
            <w:r>
              <w:rPr>
                <w:rFonts w:ascii="Times New Roman" w:eastAsia="仿宋_GB2312" w:cs="Times New Roman"/>
                <w:kern w:val="0"/>
                <w:szCs w:val="21"/>
              </w:rPr>
              <w:t>6</w:t>
            </w:r>
          </w:p>
        </w:tc>
        <w:tc>
          <w:tcPr>
            <w:tcW w:w="139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BCD3DA9">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毕节市</w:t>
            </w:r>
          </w:p>
        </w:tc>
        <w:tc>
          <w:tcPr>
            <w:tcW w:w="15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91C75E6">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市本级、赫章县</w:t>
            </w:r>
          </w:p>
        </w:tc>
        <w:tc>
          <w:tcPr>
            <w:tcW w:w="102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607C2D0">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9918</w:t>
            </w:r>
          </w:p>
        </w:tc>
        <w:tc>
          <w:tcPr>
            <w:tcW w:w="775" w:type="pct"/>
            <w:tcBorders>
              <w:top w:val="single" w:color="auto" w:sz="4" w:space="0"/>
              <w:left w:val="single" w:color="auto" w:sz="4" w:space="0"/>
              <w:bottom w:val="single" w:color="auto" w:sz="4" w:space="0"/>
              <w:right w:val="single" w:color="auto" w:sz="4" w:space="0"/>
            </w:tcBorders>
            <w:vAlign w:val="center"/>
          </w:tcPr>
          <w:p w14:paraId="1D7B873C">
            <w:pPr>
              <w:widowControl/>
              <w:spacing w:line="360" w:lineRule="exact"/>
              <w:jc w:val="center"/>
              <w:rPr>
                <w:rFonts w:ascii="Times New Roman" w:eastAsia="仿宋_GB2312" w:cs="Times New Roman"/>
                <w:bCs/>
                <w:kern w:val="0"/>
                <w:szCs w:val="21"/>
              </w:rPr>
            </w:pPr>
            <w:r>
              <w:rPr>
                <w:rFonts w:ascii="Times New Roman" w:eastAsia="仿宋_GB2312" w:cs="Times New Roman"/>
                <w:bCs/>
                <w:kern w:val="0"/>
                <w:szCs w:val="21"/>
              </w:rPr>
              <w:t>2678.13</w:t>
            </w:r>
          </w:p>
        </w:tc>
      </w:tr>
      <w:tr w14:paraId="5BFA5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41" w:hRule="atLeast"/>
          <w:jc w:val="center"/>
        </w:trPr>
        <w:tc>
          <w:tcPr>
            <w:tcW w:w="29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3A2AAA3">
            <w:pPr>
              <w:widowControl/>
              <w:spacing w:line="360" w:lineRule="exact"/>
              <w:jc w:val="center"/>
              <w:rPr>
                <w:rFonts w:ascii="Times New Roman" w:eastAsia="仿宋_GB2312" w:cs="Times New Roman"/>
                <w:kern w:val="0"/>
                <w:szCs w:val="21"/>
              </w:rPr>
            </w:pPr>
            <w:r>
              <w:rPr>
                <w:rFonts w:ascii="Times New Roman" w:eastAsia="仿宋_GB2312" w:cs="Times New Roman"/>
                <w:kern w:val="0"/>
                <w:szCs w:val="21"/>
              </w:rPr>
              <w:t>7</w:t>
            </w:r>
          </w:p>
        </w:tc>
        <w:tc>
          <w:tcPr>
            <w:tcW w:w="139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BF1404D">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铜仁市</w:t>
            </w:r>
          </w:p>
        </w:tc>
        <w:tc>
          <w:tcPr>
            <w:tcW w:w="15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3E7ECB6">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市本级、江口县、松桃县</w:t>
            </w:r>
          </w:p>
        </w:tc>
        <w:tc>
          <w:tcPr>
            <w:tcW w:w="102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AD2742D">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5943</w:t>
            </w:r>
          </w:p>
        </w:tc>
        <w:tc>
          <w:tcPr>
            <w:tcW w:w="775" w:type="pct"/>
            <w:tcBorders>
              <w:top w:val="single" w:color="auto" w:sz="4" w:space="0"/>
              <w:left w:val="single" w:color="auto" w:sz="4" w:space="0"/>
              <w:bottom w:val="single" w:color="auto" w:sz="4" w:space="0"/>
              <w:right w:val="single" w:color="auto" w:sz="4" w:space="0"/>
            </w:tcBorders>
            <w:vAlign w:val="center"/>
          </w:tcPr>
          <w:p w14:paraId="2FFF3E6E">
            <w:pPr>
              <w:widowControl/>
              <w:spacing w:line="360" w:lineRule="exact"/>
              <w:jc w:val="center"/>
              <w:rPr>
                <w:rFonts w:ascii="Times New Roman" w:eastAsia="仿宋_GB2312" w:cs="Times New Roman"/>
                <w:bCs/>
                <w:kern w:val="0"/>
                <w:szCs w:val="21"/>
              </w:rPr>
            </w:pPr>
            <w:r>
              <w:rPr>
                <w:rFonts w:ascii="Times New Roman" w:eastAsia="仿宋_GB2312" w:cs="Times New Roman"/>
                <w:bCs/>
                <w:kern w:val="0"/>
                <w:szCs w:val="21"/>
              </w:rPr>
              <w:t>2086.77</w:t>
            </w:r>
          </w:p>
        </w:tc>
      </w:tr>
      <w:tr w14:paraId="6CC45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0" w:hRule="atLeast"/>
          <w:jc w:val="center"/>
        </w:trPr>
        <w:tc>
          <w:tcPr>
            <w:tcW w:w="29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35F20BB">
            <w:pPr>
              <w:widowControl/>
              <w:spacing w:line="360" w:lineRule="exact"/>
              <w:jc w:val="center"/>
              <w:rPr>
                <w:rFonts w:ascii="Times New Roman" w:eastAsia="仿宋_GB2312" w:cs="Times New Roman"/>
                <w:kern w:val="0"/>
                <w:szCs w:val="21"/>
              </w:rPr>
            </w:pPr>
            <w:r>
              <w:rPr>
                <w:rFonts w:ascii="Times New Roman" w:eastAsia="仿宋_GB2312" w:cs="Times New Roman"/>
                <w:kern w:val="0"/>
                <w:szCs w:val="21"/>
              </w:rPr>
              <w:t>8</w:t>
            </w:r>
          </w:p>
        </w:tc>
        <w:tc>
          <w:tcPr>
            <w:tcW w:w="139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73C00E8">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黔东南苗族侗族自治州</w:t>
            </w:r>
          </w:p>
        </w:tc>
        <w:tc>
          <w:tcPr>
            <w:tcW w:w="15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3083BFA">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岑巩县、从江县、凯里市、黎平县、三穗县</w:t>
            </w:r>
          </w:p>
        </w:tc>
        <w:tc>
          <w:tcPr>
            <w:tcW w:w="102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8BD302E">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8163</w:t>
            </w:r>
          </w:p>
        </w:tc>
        <w:tc>
          <w:tcPr>
            <w:tcW w:w="775" w:type="pct"/>
            <w:tcBorders>
              <w:top w:val="single" w:color="auto" w:sz="4" w:space="0"/>
              <w:left w:val="single" w:color="auto" w:sz="4" w:space="0"/>
              <w:bottom w:val="single" w:color="auto" w:sz="4" w:space="0"/>
              <w:right w:val="single" w:color="auto" w:sz="4" w:space="0"/>
            </w:tcBorders>
            <w:vAlign w:val="center"/>
          </w:tcPr>
          <w:p w14:paraId="70F18D82">
            <w:pPr>
              <w:widowControl/>
              <w:spacing w:line="360" w:lineRule="exact"/>
              <w:jc w:val="center"/>
              <w:rPr>
                <w:rFonts w:ascii="Times New Roman" w:eastAsia="仿宋_GB2312" w:cs="Times New Roman"/>
                <w:bCs/>
                <w:kern w:val="0"/>
                <w:szCs w:val="21"/>
              </w:rPr>
            </w:pPr>
            <w:r>
              <w:rPr>
                <w:rFonts w:ascii="Times New Roman" w:eastAsia="仿宋_GB2312" w:cs="Times New Roman"/>
                <w:bCs/>
                <w:kern w:val="0"/>
                <w:szCs w:val="21"/>
              </w:rPr>
              <w:t>2437.76</w:t>
            </w:r>
          </w:p>
        </w:tc>
      </w:tr>
      <w:tr w14:paraId="0B800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5" w:hRule="atLeast"/>
          <w:jc w:val="center"/>
        </w:trPr>
        <w:tc>
          <w:tcPr>
            <w:tcW w:w="29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16E23FA">
            <w:pPr>
              <w:widowControl/>
              <w:spacing w:line="360" w:lineRule="exact"/>
              <w:jc w:val="center"/>
              <w:rPr>
                <w:rFonts w:ascii="Times New Roman" w:eastAsia="仿宋_GB2312" w:cs="Times New Roman"/>
                <w:kern w:val="0"/>
                <w:szCs w:val="21"/>
              </w:rPr>
            </w:pPr>
            <w:r>
              <w:rPr>
                <w:rFonts w:ascii="Times New Roman" w:eastAsia="仿宋_GB2312" w:cs="Times New Roman"/>
                <w:kern w:val="0"/>
                <w:szCs w:val="21"/>
              </w:rPr>
              <w:t>9</w:t>
            </w:r>
          </w:p>
        </w:tc>
        <w:tc>
          <w:tcPr>
            <w:tcW w:w="139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CBF0B93">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黔南布依族苗族自治州</w:t>
            </w:r>
          </w:p>
        </w:tc>
        <w:tc>
          <w:tcPr>
            <w:tcW w:w="15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150212E">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州本级、都匀市、福泉市、贵定县、荔波县、罗甸县、平塘县</w:t>
            </w:r>
          </w:p>
        </w:tc>
        <w:tc>
          <w:tcPr>
            <w:tcW w:w="102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414E25E">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9329.2</w:t>
            </w:r>
          </w:p>
        </w:tc>
        <w:tc>
          <w:tcPr>
            <w:tcW w:w="775" w:type="pct"/>
            <w:tcBorders>
              <w:top w:val="single" w:color="auto" w:sz="4" w:space="0"/>
              <w:left w:val="single" w:color="auto" w:sz="4" w:space="0"/>
              <w:bottom w:val="single" w:color="auto" w:sz="4" w:space="0"/>
              <w:right w:val="single" w:color="auto" w:sz="4" w:space="0"/>
            </w:tcBorders>
            <w:vAlign w:val="center"/>
          </w:tcPr>
          <w:p w14:paraId="47C17BDF">
            <w:pPr>
              <w:widowControl/>
              <w:spacing w:line="360" w:lineRule="exact"/>
              <w:jc w:val="center"/>
              <w:rPr>
                <w:rFonts w:ascii="Times New Roman" w:eastAsia="仿宋_GB2312" w:cs="Times New Roman"/>
                <w:bCs/>
                <w:kern w:val="0"/>
                <w:szCs w:val="21"/>
              </w:rPr>
            </w:pPr>
            <w:r>
              <w:rPr>
                <w:rFonts w:ascii="Times New Roman" w:eastAsia="仿宋_GB2312" w:cs="Times New Roman"/>
                <w:bCs/>
                <w:kern w:val="0"/>
                <w:szCs w:val="21"/>
              </w:rPr>
              <w:t>3605.13</w:t>
            </w:r>
          </w:p>
        </w:tc>
      </w:tr>
      <w:tr w14:paraId="5CA3E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3" w:hRule="atLeast"/>
          <w:jc w:val="center"/>
        </w:trPr>
        <w:tc>
          <w:tcPr>
            <w:tcW w:w="29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98D3CFC">
            <w:pPr>
              <w:widowControl/>
              <w:spacing w:line="360" w:lineRule="exact"/>
              <w:jc w:val="center"/>
              <w:rPr>
                <w:rFonts w:ascii="Times New Roman" w:eastAsia="仿宋_GB2312" w:cs="Times New Roman"/>
                <w:kern w:val="0"/>
                <w:szCs w:val="21"/>
              </w:rPr>
            </w:pPr>
            <w:r>
              <w:rPr>
                <w:rFonts w:ascii="Times New Roman" w:eastAsia="仿宋_GB2312" w:cs="Times New Roman"/>
                <w:kern w:val="0"/>
                <w:szCs w:val="21"/>
              </w:rPr>
              <w:t>10</w:t>
            </w:r>
          </w:p>
        </w:tc>
        <w:tc>
          <w:tcPr>
            <w:tcW w:w="139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CB56781">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黔西南布依族苗族自治州</w:t>
            </w:r>
          </w:p>
        </w:tc>
        <w:tc>
          <w:tcPr>
            <w:tcW w:w="15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2943F2D">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兴义市、普安县、望谟县</w:t>
            </w:r>
          </w:p>
        </w:tc>
        <w:tc>
          <w:tcPr>
            <w:tcW w:w="102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EF27B06">
            <w:pPr>
              <w:widowControl/>
              <w:spacing w:line="360" w:lineRule="exact"/>
              <w:jc w:val="center"/>
              <w:rPr>
                <w:rFonts w:ascii="Times New Roman" w:eastAsia="仿宋_GB2312" w:cs="Times New Roman"/>
                <w:bCs/>
                <w:kern w:val="0"/>
                <w:szCs w:val="21"/>
              </w:rPr>
            </w:pPr>
            <w:r>
              <w:rPr>
                <w:rFonts w:hint="eastAsia" w:ascii="Times New Roman" w:eastAsia="仿宋_GB2312" w:cs="Times New Roman"/>
                <w:bCs/>
                <w:kern w:val="0"/>
                <w:szCs w:val="21"/>
              </w:rPr>
              <w:t>8004</w:t>
            </w:r>
          </w:p>
        </w:tc>
        <w:tc>
          <w:tcPr>
            <w:tcW w:w="775" w:type="pct"/>
            <w:tcBorders>
              <w:top w:val="single" w:color="auto" w:sz="4" w:space="0"/>
              <w:left w:val="single" w:color="auto" w:sz="4" w:space="0"/>
              <w:bottom w:val="single" w:color="auto" w:sz="4" w:space="0"/>
              <w:right w:val="single" w:color="auto" w:sz="4" w:space="0"/>
            </w:tcBorders>
            <w:vAlign w:val="center"/>
          </w:tcPr>
          <w:p w14:paraId="01872BB4">
            <w:pPr>
              <w:widowControl/>
              <w:spacing w:line="360" w:lineRule="exact"/>
              <w:jc w:val="center"/>
              <w:rPr>
                <w:rFonts w:ascii="Times New Roman" w:eastAsia="仿宋_GB2312" w:cs="Times New Roman"/>
                <w:bCs/>
                <w:kern w:val="0"/>
                <w:szCs w:val="21"/>
              </w:rPr>
            </w:pPr>
            <w:r>
              <w:rPr>
                <w:rFonts w:ascii="Times New Roman" w:eastAsia="仿宋_GB2312" w:cs="Times New Roman"/>
                <w:bCs/>
                <w:kern w:val="0"/>
                <w:szCs w:val="21"/>
              </w:rPr>
              <w:t>7361.61</w:t>
            </w:r>
          </w:p>
        </w:tc>
      </w:tr>
      <w:tr w14:paraId="56F11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2" w:hRule="atLeast"/>
          <w:jc w:val="center"/>
        </w:trPr>
        <w:tc>
          <w:tcPr>
            <w:tcW w:w="3197"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43FF18B">
            <w:pPr>
              <w:widowControl/>
              <w:spacing w:line="360" w:lineRule="exact"/>
              <w:jc w:val="center"/>
              <w:rPr>
                <w:rFonts w:ascii="Times New Roman" w:eastAsia="仿宋_GB2312" w:cs="Times New Roman"/>
                <w:b/>
                <w:kern w:val="0"/>
                <w:szCs w:val="21"/>
              </w:rPr>
            </w:pPr>
            <w:r>
              <w:rPr>
                <w:rFonts w:ascii="Times New Roman" w:eastAsia="仿宋_GB2312" w:cs="Times New Roman"/>
                <w:b/>
                <w:kern w:val="0"/>
                <w:szCs w:val="21"/>
              </w:rPr>
              <w:t>合计</w:t>
            </w:r>
          </w:p>
        </w:tc>
        <w:tc>
          <w:tcPr>
            <w:tcW w:w="102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FD84145">
            <w:pPr>
              <w:widowControl/>
              <w:spacing w:line="360" w:lineRule="exact"/>
              <w:jc w:val="center"/>
              <w:rPr>
                <w:rFonts w:ascii="Times New Roman" w:eastAsia="仿宋_GB2312" w:cs="Times New Roman"/>
                <w:b/>
                <w:bCs/>
                <w:kern w:val="0"/>
                <w:szCs w:val="21"/>
              </w:rPr>
            </w:pPr>
            <w:r>
              <w:rPr>
                <w:rFonts w:ascii="Times New Roman" w:eastAsia="仿宋_GB2312" w:cs="Times New Roman"/>
                <w:b/>
                <w:bCs/>
                <w:kern w:val="0"/>
                <w:szCs w:val="21"/>
              </w:rPr>
              <w:t>74986</w:t>
            </w:r>
          </w:p>
        </w:tc>
        <w:tc>
          <w:tcPr>
            <w:tcW w:w="775" w:type="pct"/>
            <w:tcBorders>
              <w:top w:val="single" w:color="auto" w:sz="4" w:space="0"/>
              <w:left w:val="single" w:color="auto" w:sz="4" w:space="0"/>
              <w:bottom w:val="single" w:color="auto" w:sz="4" w:space="0"/>
              <w:right w:val="single" w:color="auto" w:sz="4" w:space="0"/>
            </w:tcBorders>
            <w:vAlign w:val="center"/>
          </w:tcPr>
          <w:p w14:paraId="14BE953A">
            <w:pPr>
              <w:widowControl/>
              <w:spacing w:line="360" w:lineRule="exact"/>
              <w:jc w:val="center"/>
              <w:rPr>
                <w:rFonts w:ascii="宋体" w:hAnsi="宋体" w:eastAsia="宋体" w:cs="宋体"/>
                <w:color w:val="000000"/>
                <w:sz w:val="22"/>
              </w:rPr>
            </w:pPr>
            <w:r>
              <w:rPr>
                <w:rFonts w:hint="eastAsia" w:ascii="Times New Roman" w:eastAsia="仿宋_GB2312" w:cs="Times New Roman"/>
                <w:bCs/>
                <w:kern w:val="0"/>
                <w:szCs w:val="21"/>
              </w:rPr>
              <w:t>28824.19</w:t>
            </w:r>
          </w:p>
        </w:tc>
      </w:tr>
    </w:tbl>
    <w:p w14:paraId="125AA862">
      <w:pPr>
        <w:keepNext/>
        <w:keepLines/>
        <w:widowControl/>
        <w:adjustRightInd w:val="0"/>
        <w:snapToGrid w:val="0"/>
        <w:spacing w:line="560" w:lineRule="exact"/>
        <w:ind w:firstLine="640" w:firstLineChars="200"/>
        <w:outlineLvl w:val="0"/>
        <w:rPr>
          <w:rFonts w:ascii="Times New Roman" w:eastAsia="黑体" w:cs="Times New Roman"/>
          <w:kern w:val="44"/>
          <w:sz w:val="32"/>
          <w:szCs w:val="32"/>
        </w:rPr>
      </w:pPr>
      <w:r>
        <w:rPr>
          <w:rFonts w:ascii="Times New Roman" w:eastAsia="黑体" w:cs="Times New Roman"/>
          <w:kern w:val="44"/>
          <w:sz w:val="32"/>
          <w:szCs w:val="32"/>
        </w:rPr>
        <w:t>二、绩效情况分析</w:t>
      </w:r>
    </w:p>
    <w:p w14:paraId="6DF3ED8B">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outlineLvl w:val="1"/>
        <w:rPr>
          <w:rFonts w:ascii="Times New Roman" w:eastAsia="仿宋_GB2312" w:cs="Times New Roman"/>
          <w:b/>
          <w:bCs/>
          <w:sz w:val="32"/>
          <w:szCs w:val="32"/>
        </w:rPr>
      </w:pPr>
      <w:r>
        <w:rPr>
          <w:rFonts w:ascii="Times New Roman" w:eastAsia="楷体" w:cs="Times New Roman"/>
          <w:kern w:val="44"/>
          <w:sz w:val="32"/>
          <w:szCs w:val="32"/>
        </w:rPr>
        <w:t>（</w:t>
      </w:r>
      <w:r>
        <w:rPr>
          <w:rFonts w:hint="eastAsia" w:ascii="Times New Roman" w:eastAsia="楷体" w:cs="Times New Roman"/>
          <w:kern w:val="44"/>
          <w:sz w:val="32"/>
          <w:szCs w:val="32"/>
          <w:lang w:eastAsia="zh-CN"/>
        </w:rPr>
        <w:t>一</w:t>
      </w:r>
      <w:r>
        <w:rPr>
          <w:rFonts w:ascii="Times New Roman" w:eastAsia="楷体" w:cs="Times New Roman"/>
          <w:kern w:val="44"/>
          <w:sz w:val="32"/>
          <w:szCs w:val="32"/>
        </w:rPr>
        <w:t>）总体绩效目标完成情况</w:t>
      </w:r>
    </w:p>
    <w:p w14:paraId="20B3C42F">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rPr>
          <w:rFonts w:ascii="Times New Roman" w:eastAsia="仿宋_GB2312" w:cs="Times New Roman"/>
          <w:kern w:val="0"/>
          <w:sz w:val="32"/>
          <w:szCs w:val="32"/>
          <w:highlight w:val="yellow"/>
        </w:rPr>
      </w:pPr>
      <w:r>
        <w:rPr>
          <w:rFonts w:ascii="Times New Roman" w:eastAsia="仿宋_GB2312" w:cs="Times New Roman"/>
          <w:kern w:val="0"/>
          <w:sz w:val="32"/>
          <w:szCs w:val="32"/>
        </w:rPr>
        <w:t>全省水环境质量总体保持优良。119个地表水国控断面达到或优于Ⅲ类水质断面比例占99.2%；23个主要河流出境断面全部达到Ⅲ类及以上水质类别；集中式饮用水源地水质优良，</w:t>
      </w:r>
      <w:r>
        <w:rPr>
          <w:rFonts w:hint="eastAsia" w:ascii="Times New Roman" w:eastAsia="仿宋_GB2312" w:cs="Times New Roman"/>
          <w:kern w:val="0"/>
          <w:sz w:val="32"/>
          <w:szCs w:val="32"/>
        </w:rPr>
        <w:t>县级</w:t>
      </w:r>
      <w:r>
        <w:rPr>
          <w:rFonts w:ascii="Times New Roman" w:eastAsia="仿宋_GB2312" w:cs="Times New Roman"/>
          <w:kern w:val="0"/>
          <w:sz w:val="32"/>
          <w:szCs w:val="32"/>
        </w:rPr>
        <w:t>及以上集中式饮用水水源地水质达标率稳定保持100%；</w:t>
      </w:r>
      <w:r>
        <w:rPr>
          <w:rFonts w:hint="eastAsia" w:ascii="Times New Roman" w:eastAsia="仿宋_GB2312" w:cs="Times New Roman"/>
          <w:kern w:val="0"/>
          <w:sz w:val="32"/>
          <w:szCs w:val="32"/>
        </w:rPr>
        <w:t>地下水管理质量考核达到国家目标要求。</w:t>
      </w:r>
    </w:p>
    <w:p w14:paraId="20CC04FC">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outlineLvl w:val="1"/>
        <w:rPr>
          <w:rFonts w:ascii="Times New Roman" w:eastAsia="楷体" w:cs="Times New Roman"/>
          <w:kern w:val="44"/>
          <w:sz w:val="32"/>
          <w:szCs w:val="32"/>
        </w:rPr>
      </w:pPr>
      <w:r>
        <w:rPr>
          <w:rFonts w:ascii="Times New Roman" w:eastAsia="楷体" w:cs="Times New Roman"/>
          <w:kern w:val="44"/>
          <w:sz w:val="32"/>
          <w:szCs w:val="32"/>
        </w:rPr>
        <w:t>（</w:t>
      </w:r>
      <w:r>
        <w:rPr>
          <w:rFonts w:hint="eastAsia" w:ascii="Times New Roman" w:eastAsia="楷体" w:cs="Times New Roman"/>
          <w:kern w:val="44"/>
          <w:sz w:val="32"/>
          <w:szCs w:val="32"/>
          <w:lang w:eastAsia="zh-CN"/>
        </w:rPr>
        <w:t>二</w:t>
      </w:r>
      <w:r>
        <w:rPr>
          <w:rFonts w:ascii="Times New Roman" w:eastAsia="楷体" w:cs="Times New Roman"/>
          <w:kern w:val="44"/>
          <w:sz w:val="32"/>
          <w:szCs w:val="32"/>
        </w:rPr>
        <w:t>）绩效指标完成情况</w:t>
      </w:r>
    </w:p>
    <w:p w14:paraId="53CFD5E2">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outlineLvl w:val="2"/>
        <w:rPr>
          <w:rFonts w:ascii="Times New Roman" w:eastAsia="仿宋_GB2312" w:cs="Times New Roman"/>
          <w:bCs/>
          <w:sz w:val="32"/>
          <w:szCs w:val="32"/>
        </w:rPr>
      </w:pPr>
      <w:r>
        <w:rPr>
          <w:rFonts w:ascii="Times New Roman" w:eastAsia="楷体" w:cs="Times New Roman"/>
          <w:kern w:val="44"/>
          <w:sz w:val="32"/>
          <w:szCs w:val="32"/>
        </w:rPr>
        <w:t>1.</w:t>
      </w:r>
      <w:r>
        <w:rPr>
          <w:rFonts w:ascii="Times New Roman" w:eastAsia="仿宋_GB2312" w:cs="Times New Roman"/>
          <w:bCs/>
          <w:sz w:val="32"/>
          <w:szCs w:val="32"/>
        </w:rPr>
        <w:t>产出指标完成情况分析</w:t>
      </w:r>
    </w:p>
    <w:p w14:paraId="273F3D17">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rPr>
          <w:rFonts w:ascii="Times New Roman" w:eastAsia="仿宋_GB2312" w:cs="Times New Roman"/>
          <w:sz w:val="32"/>
          <w:szCs w:val="32"/>
        </w:rPr>
      </w:pPr>
      <w:r>
        <w:rPr>
          <w:rFonts w:ascii="Times New Roman" w:eastAsia="仿宋_GB2312" w:cs="Times New Roman"/>
          <w:sz w:val="32"/>
          <w:szCs w:val="32"/>
        </w:rPr>
        <w:t>（1）数量指标</w:t>
      </w:r>
    </w:p>
    <w:p w14:paraId="2B868CE6">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rPr>
          <w:rFonts w:ascii="Times New Roman" w:eastAsia="仿宋_GB2312" w:cs="Times New Roman"/>
          <w:kern w:val="0"/>
          <w:sz w:val="32"/>
          <w:szCs w:val="32"/>
        </w:rPr>
      </w:pPr>
      <w:r>
        <w:rPr>
          <w:rFonts w:ascii="Times New Roman" w:eastAsia="仿宋_GB2312" w:cs="Times New Roman"/>
          <w:kern w:val="0"/>
          <w:sz w:val="32"/>
          <w:szCs w:val="32"/>
        </w:rPr>
        <w:fldChar w:fldCharType="begin"/>
      </w:r>
      <w:r>
        <w:rPr>
          <w:rFonts w:ascii="Times New Roman" w:eastAsia="仿宋_GB2312" w:cs="Times New Roman"/>
          <w:kern w:val="0"/>
          <w:sz w:val="32"/>
          <w:szCs w:val="32"/>
        </w:rPr>
        <w:instrText xml:space="preserve"> </w:instrText>
      </w:r>
      <w:r>
        <w:rPr>
          <w:rFonts w:hint="eastAsia" w:ascii="Times New Roman" w:eastAsia="仿宋_GB2312" w:cs="Times New Roman"/>
          <w:kern w:val="0"/>
          <w:sz w:val="32"/>
          <w:szCs w:val="32"/>
        </w:rPr>
        <w:instrText xml:space="preserve">= 1 \* GB3</w:instrText>
      </w:r>
      <w:r>
        <w:rPr>
          <w:rFonts w:ascii="Times New Roman" w:eastAsia="仿宋_GB2312" w:cs="Times New Roman"/>
          <w:kern w:val="0"/>
          <w:sz w:val="32"/>
          <w:szCs w:val="32"/>
        </w:rPr>
        <w:instrText xml:space="preserve"> </w:instrText>
      </w:r>
      <w:r>
        <w:rPr>
          <w:rFonts w:ascii="Times New Roman" w:eastAsia="仿宋_GB2312" w:cs="Times New Roman"/>
          <w:kern w:val="0"/>
          <w:sz w:val="32"/>
          <w:szCs w:val="32"/>
        </w:rPr>
        <w:fldChar w:fldCharType="separate"/>
      </w:r>
      <w:r>
        <w:rPr>
          <w:rFonts w:hint="eastAsia" w:ascii="Times New Roman" w:eastAsia="仿宋_GB2312" w:cs="Times New Roman"/>
          <w:kern w:val="0"/>
          <w:sz w:val="32"/>
          <w:szCs w:val="32"/>
        </w:rPr>
        <w:t>①</w:t>
      </w:r>
      <w:r>
        <w:rPr>
          <w:rFonts w:ascii="Times New Roman" w:eastAsia="仿宋_GB2312" w:cs="Times New Roman"/>
          <w:kern w:val="0"/>
          <w:sz w:val="32"/>
          <w:szCs w:val="32"/>
        </w:rPr>
        <w:fldChar w:fldCharType="end"/>
      </w:r>
      <w:r>
        <w:rPr>
          <w:rFonts w:ascii="Times New Roman" w:eastAsia="仿宋_GB2312" w:cs="Times New Roman"/>
          <w:kern w:val="0"/>
          <w:sz w:val="32"/>
          <w:szCs w:val="32"/>
        </w:rPr>
        <w:t>集中式饮用水水源地整治数量</w:t>
      </w:r>
      <w:r>
        <w:rPr>
          <w:rFonts w:hint="eastAsia" w:ascii="Times New Roman" w:eastAsia="仿宋_GB2312" w:cs="Times New Roman"/>
          <w:kern w:val="0"/>
          <w:sz w:val="32"/>
          <w:szCs w:val="32"/>
        </w:rPr>
        <w:t>≥</w:t>
      </w:r>
      <w:r>
        <w:rPr>
          <w:rFonts w:ascii="Times New Roman" w:eastAsia="仿宋_GB2312" w:cs="Times New Roman"/>
          <w:kern w:val="0"/>
          <w:sz w:val="32"/>
          <w:szCs w:val="32"/>
        </w:rPr>
        <w:t>16个，</w:t>
      </w:r>
      <w:r>
        <w:rPr>
          <w:rFonts w:hint="eastAsia" w:ascii="Times New Roman" w:eastAsia="仿宋_GB2312" w:cs="Times New Roman"/>
          <w:kern w:val="0"/>
          <w:sz w:val="32"/>
          <w:szCs w:val="32"/>
        </w:rPr>
        <w:t>已</w:t>
      </w:r>
      <w:r>
        <w:rPr>
          <w:rFonts w:ascii="Times New Roman" w:eastAsia="仿宋_GB2312" w:cs="Times New Roman"/>
          <w:kern w:val="0"/>
          <w:sz w:val="32"/>
          <w:szCs w:val="32"/>
        </w:rPr>
        <w:t>开工的集中式饮用水水源地整治数量</w:t>
      </w:r>
      <w:r>
        <w:rPr>
          <w:rFonts w:hint="eastAsia" w:ascii="Times New Roman" w:eastAsia="仿宋_GB2312" w:cs="Times New Roman"/>
          <w:kern w:val="0"/>
          <w:sz w:val="32"/>
          <w:szCs w:val="32"/>
        </w:rPr>
        <w:t>18个</w:t>
      </w:r>
      <w:r>
        <w:rPr>
          <w:rFonts w:ascii="Times New Roman" w:eastAsia="仿宋_GB2312" w:cs="Times New Roman"/>
          <w:kern w:val="0"/>
          <w:sz w:val="32"/>
          <w:szCs w:val="32"/>
        </w:rPr>
        <w:t>；</w:t>
      </w:r>
    </w:p>
    <w:p w14:paraId="4CAD1B57">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rPr>
          <w:rFonts w:ascii="Times New Roman" w:eastAsia="仿宋_GB2312" w:cs="Times New Roman"/>
          <w:kern w:val="0"/>
          <w:sz w:val="32"/>
          <w:szCs w:val="32"/>
        </w:rPr>
      </w:pPr>
      <w:r>
        <w:rPr>
          <w:rFonts w:hint="eastAsia" w:ascii="Times New Roman" w:eastAsia="仿宋_GB2312" w:cs="Times New Roman"/>
          <w:kern w:val="0"/>
          <w:sz w:val="32"/>
          <w:szCs w:val="32"/>
        </w:rPr>
        <w:t>②新增污染负荷COD削减量993.8吨/年， 已完成新增COD削减量390.06吨/年；</w:t>
      </w:r>
    </w:p>
    <w:p w14:paraId="3839EEB0">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rPr>
          <w:rFonts w:ascii="Times New Roman" w:eastAsia="仿宋_GB2312" w:cs="Times New Roman"/>
          <w:kern w:val="0"/>
          <w:sz w:val="32"/>
          <w:szCs w:val="32"/>
        </w:rPr>
      </w:pPr>
      <w:r>
        <w:rPr>
          <w:rFonts w:ascii="Times New Roman" w:eastAsia="仿宋_GB2312" w:cs="Times New Roman"/>
          <w:kern w:val="0"/>
          <w:sz w:val="32"/>
          <w:szCs w:val="32"/>
        </w:rPr>
        <w:fldChar w:fldCharType="begin"/>
      </w:r>
      <w:r>
        <w:rPr>
          <w:rFonts w:ascii="Times New Roman" w:eastAsia="仿宋_GB2312" w:cs="Times New Roman"/>
          <w:kern w:val="0"/>
          <w:sz w:val="32"/>
          <w:szCs w:val="32"/>
        </w:rPr>
        <w:instrText xml:space="preserve"> </w:instrText>
      </w:r>
      <w:r>
        <w:rPr>
          <w:rFonts w:hint="eastAsia" w:ascii="Times New Roman" w:eastAsia="仿宋_GB2312" w:cs="Times New Roman"/>
          <w:kern w:val="0"/>
          <w:sz w:val="32"/>
          <w:szCs w:val="32"/>
        </w:rPr>
        <w:instrText xml:space="preserve">= 3 \* GB3</w:instrText>
      </w:r>
      <w:r>
        <w:rPr>
          <w:rFonts w:ascii="Times New Roman" w:eastAsia="仿宋_GB2312" w:cs="Times New Roman"/>
          <w:kern w:val="0"/>
          <w:sz w:val="32"/>
          <w:szCs w:val="32"/>
        </w:rPr>
        <w:instrText xml:space="preserve"> </w:instrText>
      </w:r>
      <w:r>
        <w:rPr>
          <w:rFonts w:ascii="Times New Roman" w:eastAsia="仿宋_GB2312" w:cs="Times New Roman"/>
          <w:kern w:val="0"/>
          <w:sz w:val="32"/>
          <w:szCs w:val="32"/>
        </w:rPr>
        <w:fldChar w:fldCharType="separate"/>
      </w:r>
      <w:r>
        <w:rPr>
          <w:rFonts w:hint="eastAsia" w:ascii="Times New Roman" w:eastAsia="仿宋_GB2312" w:cs="Times New Roman"/>
          <w:kern w:val="0"/>
          <w:sz w:val="32"/>
          <w:szCs w:val="32"/>
        </w:rPr>
        <w:t>③</w:t>
      </w:r>
      <w:r>
        <w:rPr>
          <w:rFonts w:ascii="Times New Roman" w:eastAsia="仿宋_GB2312" w:cs="Times New Roman"/>
          <w:kern w:val="0"/>
          <w:sz w:val="32"/>
          <w:szCs w:val="32"/>
        </w:rPr>
        <w:fldChar w:fldCharType="end"/>
      </w:r>
      <w:r>
        <w:rPr>
          <w:rFonts w:hint="eastAsia" w:ascii="Times New Roman" w:eastAsia="仿宋_GB2312" w:cs="Times New Roman"/>
          <w:kern w:val="0"/>
          <w:sz w:val="32"/>
          <w:szCs w:val="32"/>
        </w:rPr>
        <w:t>新增污染负荷氨氮削减量109.1吨/年，已完成新增氨氮削减量77.04吨/年；</w:t>
      </w:r>
    </w:p>
    <w:p w14:paraId="19AA3255">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rPr>
          <w:rFonts w:ascii="Times New Roman" w:eastAsia="仿宋_GB2312" w:cs="Times New Roman"/>
          <w:kern w:val="0"/>
          <w:sz w:val="32"/>
          <w:szCs w:val="32"/>
        </w:rPr>
      </w:pPr>
      <w:r>
        <w:rPr>
          <w:rFonts w:ascii="Times New Roman" w:eastAsia="仿宋_GB2312" w:cs="Times New Roman"/>
          <w:kern w:val="0"/>
          <w:sz w:val="32"/>
          <w:szCs w:val="32"/>
        </w:rPr>
        <w:fldChar w:fldCharType="begin"/>
      </w:r>
      <w:r>
        <w:rPr>
          <w:rFonts w:ascii="Times New Roman" w:eastAsia="仿宋_GB2312" w:cs="Times New Roman"/>
          <w:kern w:val="0"/>
          <w:sz w:val="32"/>
          <w:szCs w:val="32"/>
        </w:rPr>
        <w:instrText xml:space="preserve"> </w:instrText>
      </w:r>
      <w:r>
        <w:rPr>
          <w:rFonts w:hint="eastAsia" w:ascii="Times New Roman" w:eastAsia="仿宋_GB2312" w:cs="Times New Roman"/>
          <w:kern w:val="0"/>
          <w:sz w:val="32"/>
          <w:szCs w:val="32"/>
        </w:rPr>
        <w:instrText xml:space="preserve">= 4 \* GB3</w:instrText>
      </w:r>
      <w:r>
        <w:rPr>
          <w:rFonts w:ascii="Times New Roman" w:eastAsia="仿宋_GB2312" w:cs="Times New Roman"/>
          <w:kern w:val="0"/>
          <w:sz w:val="32"/>
          <w:szCs w:val="32"/>
        </w:rPr>
        <w:instrText xml:space="preserve"> </w:instrText>
      </w:r>
      <w:r>
        <w:rPr>
          <w:rFonts w:ascii="Times New Roman" w:eastAsia="仿宋_GB2312" w:cs="Times New Roman"/>
          <w:kern w:val="0"/>
          <w:sz w:val="32"/>
          <w:szCs w:val="32"/>
        </w:rPr>
        <w:fldChar w:fldCharType="separate"/>
      </w:r>
      <w:r>
        <w:rPr>
          <w:rFonts w:hint="eastAsia" w:ascii="Times New Roman" w:eastAsia="仿宋_GB2312" w:cs="Times New Roman"/>
          <w:kern w:val="0"/>
          <w:sz w:val="32"/>
          <w:szCs w:val="32"/>
        </w:rPr>
        <w:t>④</w:t>
      </w:r>
      <w:r>
        <w:rPr>
          <w:rFonts w:ascii="Times New Roman" w:eastAsia="仿宋_GB2312" w:cs="Times New Roman"/>
          <w:kern w:val="0"/>
          <w:sz w:val="32"/>
          <w:szCs w:val="32"/>
        </w:rPr>
        <w:fldChar w:fldCharType="end"/>
      </w:r>
      <w:r>
        <w:rPr>
          <w:rFonts w:hint="eastAsia" w:ascii="Times New Roman" w:eastAsia="仿宋_GB2312" w:cs="Times New Roman"/>
          <w:kern w:val="0"/>
          <w:sz w:val="32"/>
          <w:szCs w:val="32"/>
        </w:rPr>
        <w:t>新增污染负荷总磷削减数量12.7吨/年，已完成新增总磷削减量7.44吨/年；</w:t>
      </w:r>
    </w:p>
    <w:p w14:paraId="43F669D9">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rPr>
          <w:rFonts w:ascii="Times New Roman" w:eastAsia="仿宋_GB2312" w:cs="Times New Roman"/>
          <w:kern w:val="0"/>
          <w:sz w:val="32"/>
          <w:szCs w:val="32"/>
        </w:rPr>
      </w:pPr>
      <w:r>
        <w:rPr>
          <w:rFonts w:ascii="Times New Roman" w:eastAsia="仿宋_GB2312" w:cs="Times New Roman"/>
          <w:kern w:val="0"/>
          <w:sz w:val="32"/>
          <w:szCs w:val="32"/>
        </w:rPr>
        <w:fldChar w:fldCharType="begin"/>
      </w:r>
      <w:r>
        <w:rPr>
          <w:rFonts w:ascii="Times New Roman" w:eastAsia="仿宋_GB2312" w:cs="Times New Roman"/>
          <w:kern w:val="0"/>
          <w:sz w:val="32"/>
          <w:szCs w:val="32"/>
        </w:rPr>
        <w:instrText xml:space="preserve"> </w:instrText>
      </w:r>
      <w:r>
        <w:rPr>
          <w:rFonts w:hint="eastAsia" w:ascii="Times New Roman" w:eastAsia="仿宋_GB2312" w:cs="Times New Roman"/>
          <w:kern w:val="0"/>
          <w:sz w:val="32"/>
          <w:szCs w:val="32"/>
        </w:rPr>
        <w:instrText xml:space="preserve">= 5 \* GB3</w:instrText>
      </w:r>
      <w:r>
        <w:rPr>
          <w:rFonts w:ascii="Times New Roman" w:eastAsia="仿宋_GB2312" w:cs="Times New Roman"/>
          <w:kern w:val="0"/>
          <w:sz w:val="32"/>
          <w:szCs w:val="32"/>
        </w:rPr>
        <w:instrText xml:space="preserve"> </w:instrText>
      </w:r>
      <w:r>
        <w:rPr>
          <w:rFonts w:ascii="Times New Roman" w:eastAsia="仿宋_GB2312" w:cs="Times New Roman"/>
          <w:kern w:val="0"/>
          <w:sz w:val="32"/>
          <w:szCs w:val="32"/>
        </w:rPr>
        <w:fldChar w:fldCharType="separate"/>
      </w:r>
      <w:r>
        <w:rPr>
          <w:rFonts w:hint="eastAsia" w:ascii="Times New Roman" w:eastAsia="仿宋_GB2312" w:cs="Times New Roman"/>
          <w:kern w:val="0"/>
          <w:sz w:val="32"/>
          <w:szCs w:val="32"/>
        </w:rPr>
        <w:t>⑤</w:t>
      </w:r>
      <w:r>
        <w:rPr>
          <w:rFonts w:ascii="Times New Roman" w:eastAsia="仿宋_GB2312" w:cs="Times New Roman"/>
          <w:kern w:val="0"/>
          <w:sz w:val="32"/>
          <w:szCs w:val="32"/>
        </w:rPr>
        <w:fldChar w:fldCharType="end"/>
      </w:r>
      <w:r>
        <w:rPr>
          <w:rFonts w:hint="eastAsia" w:ascii="Times New Roman" w:eastAsia="仿宋_GB2312" w:cs="Times New Roman"/>
          <w:kern w:val="0"/>
          <w:sz w:val="32"/>
          <w:szCs w:val="32"/>
        </w:rPr>
        <w:t>重要生态空间内新增污水处理能力≥680吨/天，已完成重要生态空间内新增污水处理能力421.62吨/天；</w:t>
      </w:r>
    </w:p>
    <w:p w14:paraId="25438DA7">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rPr>
          <w:rFonts w:ascii="Times New Roman" w:eastAsia="仿宋_GB2312" w:cs="Times New Roman"/>
          <w:kern w:val="0"/>
          <w:sz w:val="32"/>
          <w:szCs w:val="32"/>
        </w:rPr>
      </w:pPr>
      <w:r>
        <w:rPr>
          <w:rFonts w:ascii="Times New Roman" w:eastAsia="仿宋_GB2312" w:cs="Times New Roman"/>
          <w:kern w:val="0"/>
          <w:sz w:val="32"/>
          <w:szCs w:val="32"/>
        </w:rPr>
        <w:fldChar w:fldCharType="begin"/>
      </w:r>
      <w:r>
        <w:rPr>
          <w:rFonts w:ascii="Times New Roman" w:eastAsia="仿宋_GB2312" w:cs="Times New Roman"/>
          <w:kern w:val="0"/>
          <w:sz w:val="32"/>
          <w:szCs w:val="32"/>
        </w:rPr>
        <w:instrText xml:space="preserve"> </w:instrText>
      </w:r>
      <w:r>
        <w:rPr>
          <w:rFonts w:hint="eastAsia" w:ascii="Times New Roman" w:eastAsia="仿宋_GB2312" w:cs="Times New Roman"/>
          <w:kern w:val="0"/>
          <w:sz w:val="32"/>
          <w:szCs w:val="32"/>
        </w:rPr>
        <w:instrText xml:space="preserve">= 6 \* GB3</w:instrText>
      </w:r>
      <w:r>
        <w:rPr>
          <w:rFonts w:ascii="Times New Roman" w:eastAsia="仿宋_GB2312" w:cs="Times New Roman"/>
          <w:kern w:val="0"/>
          <w:sz w:val="32"/>
          <w:szCs w:val="32"/>
        </w:rPr>
        <w:instrText xml:space="preserve"> </w:instrText>
      </w:r>
      <w:r>
        <w:rPr>
          <w:rFonts w:ascii="Times New Roman" w:eastAsia="仿宋_GB2312" w:cs="Times New Roman"/>
          <w:kern w:val="0"/>
          <w:sz w:val="32"/>
          <w:szCs w:val="32"/>
        </w:rPr>
        <w:fldChar w:fldCharType="separate"/>
      </w:r>
      <w:r>
        <w:rPr>
          <w:rFonts w:hint="eastAsia" w:ascii="Times New Roman" w:eastAsia="仿宋_GB2312" w:cs="Times New Roman"/>
          <w:kern w:val="0"/>
          <w:sz w:val="32"/>
          <w:szCs w:val="32"/>
        </w:rPr>
        <w:t>⑥</w:t>
      </w:r>
      <w:r>
        <w:rPr>
          <w:rFonts w:ascii="Times New Roman" w:eastAsia="仿宋_GB2312" w:cs="Times New Roman"/>
          <w:kern w:val="0"/>
          <w:sz w:val="32"/>
          <w:szCs w:val="32"/>
        </w:rPr>
        <w:fldChar w:fldCharType="end"/>
      </w:r>
      <w:r>
        <w:rPr>
          <w:rFonts w:hint="eastAsia" w:ascii="Times New Roman" w:eastAsia="仿宋_GB2312" w:cs="Times New Roman"/>
          <w:kern w:val="0"/>
          <w:sz w:val="32"/>
          <w:szCs w:val="32"/>
        </w:rPr>
        <w:t>新增开展地下水污染风险管控或修复项目数量≥7个，已开展地下水污染风险管控或修复项目数量11个；</w:t>
      </w:r>
    </w:p>
    <w:p w14:paraId="0967D94D">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rPr>
          <w:rFonts w:ascii="Times New Roman" w:eastAsia="仿宋_GB2312" w:cs="Times New Roman"/>
          <w:kern w:val="0"/>
          <w:sz w:val="32"/>
          <w:szCs w:val="32"/>
        </w:rPr>
      </w:pPr>
      <w:r>
        <w:rPr>
          <w:rFonts w:ascii="Times New Roman" w:eastAsia="仿宋_GB2312" w:cs="Times New Roman"/>
          <w:kern w:val="0"/>
          <w:sz w:val="32"/>
          <w:szCs w:val="32"/>
        </w:rPr>
        <w:fldChar w:fldCharType="begin"/>
      </w:r>
      <w:r>
        <w:rPr>
          <w:rFonts w:ascii="Times New Roman" w:eastAsia="仿宋_GB2312" w:cs="Times New Roman"/>
          <w:kern w:val="0"/>
          <w:sz w:val="32"/>
          <w:szCs w:val="32"/>
        </w:rPr>
        <w:instrText xml:space="preserve"> </w:instrText>
      </w:r>
      <w:r>
        <w:rPr>
          <w:rFonts w:hint="eastAsia" w:ascii="Times New Roman" w:eastAsia="仿宋_GB2312" w:cs="Times New Roman"/>
          <w:kern w:val="0"/>
          <w:sz w:val="32"/>
          <w:szCs w:val="32"/>
        </w:rPr>
        <w:instrText xml:space="preserve">= 7 \* GB3</w:instrText>
      </w:r>
      <w:r>
        <w:rPr>
          <w:rFonts w:ascii="Times New Roman" w:eastAsia="仿宋_GB2312" w:cs="Times New Roman"/>
          <w:kern w:val="0"/>
          <w:sz w:val="32"/>
          <w:szCs w:val="32"/>
        </w:rPr>
        <w:instrText xml:space="preserve"> </w:instrText>
      </w:r>
      <w:r>
        <w:rPr>
          <w:rFonts w:ascii="Times New Roman" w:eastAsia="仿宋_GB2312" w:cs="Times New Roman"/>
          <w:kern w:val="0"/>
          <w:sz w:val="32"/>
          <w:szCs w:val="32"/>
        </w:rPr>
        <w:fldChar w:fldCharType="separate"/>
      </w:r>
      <w:r>
        <w:rPr>
          <w:rFonts w:hint="eastAsia" w:ascii="Times New Roman" w:eastAsia="仿宋_GB2312" w:cs="Times New Roman"/>
          <w:kern w:val="0"/>
          <w:sz w:val="32"/>
          <w:szCs w:val="32"/>
        </w:rPr>
        <w:t>⑦</w:t>
      </w:r>
      <w:r>
        <w:rPr>
          <w:rFonts w:ascii="Times New Roman" w:eastAsia="仿宋_GB2312" w:cs="Times New Roman"/>
          <w:kern w:val="0"/>
          <w:sz w:val="32"/>
          <w:szCs w:val="32"/>
        </w:rPr>
        <w:fldChar w:fldCharType="end"/>
      </w:r>
      <w:r>
        <w:rPr>
          <w:rFonts w:hint="eastAsia" w:ascii="Times New Roman" w:eastAsia="仿宋_GB2312" w:cs="Times New Roman"/>
          <w:kern w:val="0"/>
          <w:sz w:val="32"/>
          <w:szCs w:val="32"/>
        </w:rPr>
        <w:t>新增湿地恢复面积≥0.067平方公里，已完成新增湿地恢复面积0.078平方公里；</w:t>
      </w:r>
    </w:p>
    <w:p w14:paraId="6C097845">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rPr>
          <w:rFonts w:ascii="Times New Roman" w:eastAsia="仿宋_GB2312" w:cs="Times New Roman"/>
          <w:kern w:val="0"/>
          <w:sz w:val="32"/>
          <w:szCs w:val="32"/>
        </w:rPr>
      </w:pPr>
      <w:r>
        <w:rPr>
          <w:rFonts w:ascii="Times New Roman" w:eastAsia="仿宋_GB2312" w:cs="Times New Roman"/>
          <w:kern w:val="0"/>
          <w:sz w:val="32"/>
          <w:szCs w:val="32"/>
        </w:rPr>
        <w:fldChar w:fldCharType="begin"/>
      </w:r>
      <w:r>
        <w:rPr>
          <w:rFonts w:ascii="Times New Roman" w:eastAsia="仿宋_GB2312" w:cs="Times New Roman"/>
          <w:kern w:val="0"/>
          <w:sz w:val="32"/>
          <w:szCs w:val="32"/>
        </w:rPr>
        <w:instrText xml:space="preserve"> </w:instrText>
      </w:r>
      <w:r>
        <w:rPr>
          <w:rFonts w:hint="eastAsia" w:ascii="Times New Roman" w:eastAsia="仿宋_GB2312" w:cs="Times New Roman"/>
          <w:kern w:val="0"/>
          <w:sz w:val="32"/>
          <w:szCs w:val="32"/>
        </w:rPr>
        <w:instrText xml:space="preserve">= 8 \* GB3</w:instrText>
      </w:r>
      <w:r>
        <w:rPr>
          <w:rFonts w:ascii="Times New Roman" w:eastAsia="仿宋_GB2312" w:cs="Times New Roman"/>
          <w:kern w:val="0"/>
          <w:sz w:val="32"/>
          <w:szCs w:val="32"/>
        </w:rPr>
        <w:instrText xml:space="preserve"> </w:instrText>
      </w:r>
      <w:r>
        <w:rPr>
          <w:rFonts w:ascii="Times New Roman" w:eastAsia="仿宋_GB2312" w:cs="Times New Roman"/>
          <w:kern w:val="0"/>
          <w:sz w:val="32"/>
          <w:szCs w:val="32"/>
        </w:rPr>
        <w:fldChar w:fldCharType="separate"/>
      </w:r>
      <w:r>
        <w:rPr>
          <w:rFonts w:hint="eastAsia" w:ascii="Times New Roman" w:eastAsia="仿宋_GB2312" w:cs="Times New Roman"/>
          <w:kern w:val="0"/>
          <w:sz w:val="32"/>
          <w:szCs w:val="32"/>
        </w:rPr>
        <w:t>⑧</w:t>
      </w:r>
      <w:r>
        <w:rPr>
          <w:rFonts w:ascii="Times New Roman" w:eastAsia="仿宋_GB2312" w:cs="Times New Roman"/>
          <w:kern w:val="0"/>
          <w:sz w:val="32"/>
          <w:szCs w:val="32"/>
        </w:rPr>
        <w:fldChar w:fldCharType="end"/>
      </w:r>
      <w:r>
        <w:rPr>
          <w:rFonts w:hint="eastAsia" w:ascii="Times New Roman" w:eastAsia="仿宋_GB2312" w:cs="Times New Roman"/>
          <w:kern w:val="0"/>
          <w:sz w:val="32"/>
          <w:szCs w:val="32"/>
        </w:rPr>
        <w:t>新增河湖生态缓冲带修复面积≥0.09平方公里，已完成新增河湖生态缓冲带修复面积0.086平方公里；</w:t>
      </w:r>
    </w:p>
    <w:p w14:paraId="087DA72F">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rPr>
          <w:rFonts w:ascii="Times New Roman" w:eastAsia="仿宋_GB2312" w:cs="Times New Roman"/>
          <w:kern w:val="0"/>
          <w:sz w:val="32"/>
          <w:szCs w:val="32"/>
        </w:rPr>
      </w:pPr>
      <w:r>
        <w:rPr>
          <w:rFonts w:ascii="Times New Roman" w:eastAsia="仿宋_GB2312" w:cs="Times New Roman"/>
          <w:kern w:val="0"/>
          <w:sz w:val="32"/>
          <w:szCs w:val="32"/>
        </w:rPr>
        <w:fldChar w:fldCharType="begin"/>
      </w:r>
      <w:r>
        <w:rPr>
          <w:rFonts w:ascii="Times New Roman" w:eastAsia="仿宋_GB2312" w:cs="Times New Roman"/>
          <w:kern w:val="0"/>
          <w:sz w:val="32"/>
          <w:szCs w:val="32"/>
        </w:rPr>
        <w:instrText xml:space="preserve"> </w:instrText>
      </w:r>
      <w:r>
        <w:rPr>
          <w:rFonts w:hint="eastAsia" w:ascii="Times New Roman" w:eastAsia="仿宋_GB2312" w:cs="Times New Roman"/>
          <w:kern w:val="0"/>
          <w:sz w:val="32"/>
          <w:szCs w:val="32"/>
        </w:rPr>
        <w:instrText xml:space="preserve">= 9 \* GB3</w:instrText>
      </w:r>
      <w:r>
        <w:rPr>
          <w:rFonts w:ascii="Times New Roman" w:eastAsia="仿宋_GB2312" w:cs="Times New Roman"/>
          <w:kern w:val="0"/>
          <w:sz w:val="32"/>
          <w:szCs w:val="32"/>
        </w:rPr>
        <w:instrText xml:space="preserve"> </w:instrText>
      </w:r>
      <w:r>
        <w:rPr>
          <w:rFonts w:ascii="Times New Roman" w:eastAsia="仿宋_GB2312" w:cs="Times New Roman"/>
          <w:kern w:val="0"/>
          <w:sz w:val="32"/>
          <w:szCs w:val="32"/>
        </w:rPr>
        <w:fldChar w:fldCharType="separate"/>
      </w:r>
      <w:r>
        <w:rPr>
          <w:rFonts w:hint="eastAsia" w:ascii="Times New Roman" w:eastAsia="仿宋_GB2312" w:cs="Times New Roman"/>
          <w:kern w:val="0"/>
          <w:sz w:val="32"/>
          <w:szCs w:val="32"/>
        </w:rPr>
        <w:t>⑨</w:t>
      </w:r>
      <w:r>
        <w:rPr>
          <w:rFonts w:ascii="Times New Roman" w:eastAsia="仿宋_GB2312" w:cs="Times New Roman"/>
          <w:kern w:val="0"/>
          <w:sz w:val="32"/>
          <w:szCs w:val="32"/>
        </w:rPr>
        <w:fldChar w:fldCharType="end"/>
      </w:r>
      <w:r>
        <w:rPr>
          <w:rFonts w:hint="eastAsia" w:ascii="Times New Roman" w:eastAsia="仿宋_GB2312" w:cs="Times New Roman"/>
          <w:kern w:val="0"/>
          <w:sz w:val="32"/>
          <w:szCs w:val="32"/>
        </w:rPr>
        <w:t>跨省横向生态保护补偿机制数量≥1个，实际完成2个，云贵川三省签署《第二轮赤水河流域横向生态补偿协议》，与重庆市签署《乌江流域渝黔横向生态保护补偿协议》。</w:t>
      </w:r>
    </w:p>
    <w:p w14:paraId="221960D2">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rPr>
          <w:rFonts w:ascii="Times New Roman" w:eastAsia="仿宋_GB2312" w:cs="Times New Roman"/>
          <w:sz w:val="32"/>
          <w:szCs w:val="32"/>
        </w:rPr>
      </w:pPr>
      <w:r>
        <w:rPr>
          <w:rFonts w:ascii="Times New Roman" w:eastAsia="仿宋_GB2312" w:cs="Times New Roman"/>
          <w:sz w:val="32"/>
          <w:szCs w:val="32"/>
        </w:rPr>
        <w:t>（2）质量指标</w:t>
      </w:r>
    </w:p>
    <w:p w14:paraId="28847C19">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rPr>
          <w:rFonts w:ascii="Times New Roman" w:eastAsia="仿宋_GB2312" w:cs="Times New Roman"/>
          <w:sz w:val="32"/>
          <w:szCs w:val="32"/>
        </w:rPr>
      </w:pPr>
      <w:r>
        <w:rPr>
          <w:rFonts w:ascii="Times New Roman" w:eastAsia="仿宋_GB2312" w:cs="Times New Roman"/>
          <w:sz w:val="32"/>
          <w:szCs w:val="32"/>
        </w:rPr>
        <w:t>项目验收合格率100%。截至目前，</w:t>
      </w:r>
      <w:r>
        <w:rPr>
          <w:rFonts w:hint="eastAsia" w:ascii="Times New Roman" w:eastAsia="仿宋_GB2312" w:cs="Times New Roman"/>
          <w:sz w:val="32"/>
          <w:szCs w:val="32"/>
        </w:rPr>
        <w:t>已竣工验收项目1个，验收合格，验收合格率为100%</w:t>
      </w:r>
      <w:r>
        <w:rPr>
          <w:rFonts w:ascii="Times New Roman" w:eastAsia="仿宋_GB2312" w:cs="Times New Roman"/>
          <w:sz w:val="32"/>
          <w:szCs w:val="32"/>
        </w:rPr>
        <w:t xml:space="preserve">。 </w:t>
      </w:r>
    </w:p>
    <w:p w14:paraId="5E029D2C">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rPr>
          <w:rFonts w:ascii="Times New Roman" w:eastAsia="仿宋_GB2312" w:cs="Times New Roman"/>
          <w:sz w:val="32"/>
          <w:szCs w:val="32"/>
        </w:rPr>
      </w:pPr>
      <w:r>
        <w:rPr>
          <w:rFonts w:ascii="Times New Roman" w:eastAsia="仿宋_GB2312" w:cs="Times New Roman"/>
          <w:sz w:val="32"/>
          <w:szCs w:val="32"/>
        </w:rPr>
        <w:t>（3）时效指标</w:t>
      </w:r>
    </w:p>
    <w:p w14:paraId="3C99AF05">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rPr>
          <w:rFonts w:ascii="Times New Roman" w:eastAsia="仿宋_GB2312" w:cs="Times New Roman"/>
          <w:sz w:val="32"/>
          <w:szCs w:val="32"/>
        </w:rPr>
      </w:pPr>
      <w:r>
        <w:rPr>
          <w:rFonts w:hint="eastAsia" w:ascii="宋体" w:hAnsi="宋体" w:eastAsia="宋体" w:cs="宋体"/>
          <w:sz w:val="32"/>
          <w:szCs w:val="32"/>
        </w:rPr>
        <w:t>①</w:t>
      </w:r>
      <w:r>
        <w:rPr>
          <w:rFonts w:ascii="Times New Roman" w:eastAsia="仿宋_GB2312" w:cs="Times New Roman"/>
          <w:sz w:val="32"/>
          <w:szCs w:val="32"/>
        </w:rPr>
        <w:t>项目开工率100%，实际</w:t>
      </w:r>
      <w:r>
        <w:rPr>
          <w:rFonts w:hint="eastAsia" w:ascii="Times New Roman" w:eastAsia="仿宋_GB2312" w:cs="Times New Roman"/>
          <w:sz w:val="32"/>
          <w:szCs w:val="32"/>
        </w:rPr>
        <w:t>46</w:t>
      </w:r>
      <w:r>
        <w:rPr>
          <w:rFonts w:ascii="Times New Roman" w:eastAsia="仿宋_GB2312" w:cs="Times New Roman"/>
          <w:sz w:val="32"/>
          <w:szCs w:val="32"/>
        </w:rPr>
        <w:t>个项目已开工</w:t>
      </w:r>
      <w:r>
        <w:rPr>
          <w:rFonts w:hint="eastAsia" w:ascii="Times New Roman" w:eastAsia="仿宋_GB2312" w:cs="Times New Roman"/>
          <w:sz w:val="32"/>
          <w:szCs w:val="32"/>
        </w:rPr>
        <w:t>25</w:t>
      </w:r>
      <w:r>
        <w:rPr>
          <w:rFonts w:ascii="Times New Roman" w:eastAsia="仿宋_GB2312" w:cs="Times New Roman"/>
          <w:sz w:val="32"/>
          <w:szCs w:val="32"/>
        </w:rPr>
        <w:t>个，开工率</w:t>
      </w:r>
      <w:r>
        <w:rPr>
          <w:rFonts w:hint="eastAsia" w:ascii="Times New Roman" w:eastAsia="仿宋_GB2312" w:cs="Times New Roman"/>
          <w:sz w:val="32"/>
          <w:szCs w:val="32"/>
        </w:rPr>
        <w:t>54.35</w:t>
      </w:r>
      <w:r>
        <w:rPr>
          <w:rFonts w:ascii="Times New Roman" w:eastAsia="仿宋_GB2312" w:cs="Times New Roman"/>
          <w:sz w:val="32"/>
          <w:szCs w:val="32"/>
        </w:rPr>
        <w:t>%。</w:t>
      </w:r>
    </w:p>
    <w:p w14:paraId="637631C2">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rPr>
          <w:rFonts w:ascii="Times New Roman" w:eastAsia="仿宋_GB2312" w:cs="Times New Roman"/>
          <w:sz w:val="32"/>
          <w:szCs w:val="32"/>
        </w:rPr>
      </w:pPr>
      <w:r>
        <w:rPr>
          <w:rFonts w:hint="eastAsia" w:ascii="宋体" w:hAnsi="宋体" w:eastAsia="宋体" w:cs="宋体"/>
          <w:sz w:val="32"/>
          <w:szCs w:val="32"/>
        </w:rPr>
        <w:t>②</w:t>
      </w:r>
      <w:r>
        <w:rPr>
          <w:rFonts w:ascii="Times New Roman" w:eastAsia="仿宋_GB2312" w:cs="Times New Roman"/>
          <w:sz w:val="32"/>
          <w:szCs w:val="32"/>
        </w:rPr>
        <w:t>项目完工率≥25%，截至目前，</w:t>
      </w:r>
      <w:r>
        <w:rPr>
          <w:rFonts w:hint="eastAsia" w:ascii="Times New Roman" w:eastAsia="仿宋_GB2312" w:cs="Times New Roman"/>
          <w:sz w:val="32"/>
          <w:szCs w:val="32"/>
        </w:rPr>
        <w:t>正安县页岩气开采区（正安经济开发区）地下水环境状况调查评估与风险防范已竣工</w:t>
      </w:r>
      <w:r>
        <w:rPr>
          <w:rFonts w:ascii="Times New Roman" w:eastAsia="仿宋_GB2312" w:cs="Times New Roman"/>
          <w:sz w:val="32"/>
          <w:szCs w:val="32"/>
        </w:rPr>
        <w:t>验收，</w:t>
      </w:r>
      <w:r>
        <w:rPr>
          <w:rFonts w:hint="eastAsia" w:ascii="Times New Roman" w:eastAsia="仿宋_GB2312" w:cs="Times New Roman"/>
          <w:sz w:val="32"/>
          <w:szCs w:val="32"/>
        </w:rPr>
        <w:t>福泉市高车水库、陡河水库集中式饮用水水源地保护区生态修复工程已建成投运，</w:t>
      </w:r>
      <w:r>
        <w:rPr>
          <w:rFonts w:ascii="Times New Roman" w:eastAsia="仿宋_GB2312" w:cs="Times New Roman"/>
          <w:sz w:val="32"/>
          <w:szCs w:val="32"/>
        </w:rPr>
        <w:t>完工率为</w:t>
      </w:r>
      <w:r>
        <w:rPr>
          <w:rFonts w:hint="eastAsia" w:ascii="Times New Roman" w:eastAsia="仿宋_GB2312" w:cs="Times New Roman"/>
          <w:sz w:val="32"/>
          <w:szCs w:val="32"/>
        </w:rPr>
        <w:t>4.35</w:t>
      </w:r>
      <w:r>
        <w:rPr>
          <w:rFonts w:ascii="Times New Roman" w:eastAsia="仿宋_GB2312" w:cs="Times New Roman"/>
          <w:sz w:val="32"/>
          <w:szCs w:val="32"/>
        </w:rPr>
        <w:t>%，其余</w:t>
      </w:r>
      <w:r>
        <w:rPr>
          <w:rFonts w:hint="eastAsia" w:ascii="Times New Roman" w:eastAsia="仿宋_GB2312" w:cs="Times New Roman"/>
          <w:sz w:val="32"/>
          <w:szCs w:val="32"/>
        </w:rPr>
        <w:t>项目正按时序推进</w:t>
      </w:r>
      <w:r>
        <w:rPr>
          <w:rFonts w:ascii="Times New Roman" w:eastAsia="仿宋_GB2312" w:cs="Times New Roman"/>
          <w:sz w:val="32"/>
          <w:szCs w:val="32"/>
        </w:rPr>
        <w:t>。</w:t>
      </w:r>
    </w:p>
    <w:p w14:paraId="798A6EA8">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outlineLvl w:val="2"/>
        <w:rPr>
          <w:rFonts w:ascii="Times New Roman" w:eastAsia="仿宋_GB2312" w:cs="Times New Roman"/>
          <w:bCs/>
          <w:sz w:val="32"/>
          <w:szCs w:val="32"/>
        </w:rPr>
      </w:pPr>
      <w:r>
        <w:rPr>
          <w:rFonts w:ascii="Times New Roman" w:eastAsia="仿宋_GB2312" w:cs="Times New Roman"/>
          <w:bCs/>
          <w:sz w:val="32"/>
          <w:szCs w:val="32"/>
        </w:rPr>
        <w:t>2.效益指标完成情况分析</w:t>
      </w:r>
    </w:p>
    <w:p w14:paraId="327F5411">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rPr>
          <w:rFonts w:ascii="Times New Roman" w:eastAsia="仿宋_GB2312" w:cs="Times New Roman"/>
          <w:sz w:val="32"/>
          <w:szCs w:val="32"/>
        </w:rPr>
      </w:pPr>
      <w:r>
        <w:rPr>
          <w:rFonts w:ascii="Times New Roman" w:eastAsia="仿宋_GB2312" w:cs="Times New Roman"/>
          <w:sz w:val="32"/>
          <w:szCs w:val="32"/>
        </w:rPr>
        <w:t>（1）生态效益</w:t>
      </w:r>
    </w:p>
    <w:p w14:paraId="2796EB39">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rPr>
          <w:rFonts w:ascii="Times New Roman" w:eastAsia="仿宋_GB2312" w:cs="Times New Roman"/>
          <w:sz w:val="32"/>
          <w:szCs w:val="32"/>
        </w:rPr>
      </w:pPr>
      <w:r>
        <w:rPr>
          <w:rFonts w:hint="eastAsia" w:ascii="宋体" w:hAnsi="宋体" w:eastAsia="宋体" w:cs="宋体"/>
          <w:sz w:val="32"/>
          <w:szCs w:val="32"/>
        </w:rPr>
        <w:t>①</w:t>
      </w:r>
      <w:r>
        <w:rPr>
          <w:rFonts w:ascii="Times New Roman" w:eastAsia="仿宋_GB2312" w:cs="Times New Roman"/>
          <w:sz w:val="32"/>
          <w:szCs w:val="32"/>
        </w:rPr>
        <w:t>地表水水质优良（达到或优于Ⅲ类）比例达到国家下达的年度目标值。实际完成情况：202</w:t>
      </w:r>
      <w:r>
        <w:rPr>
          <w:rFonts w:hint="eastAsia" w:ascii="Times New Roman" w:eastAsia="仿宋_GB2312" w:cs="Times New Roman"/>
          <w:sz w:val="32"/>
          <w:szCs w:val="32"/>
        </w:rPr>
        <w:t>4</w:t>
      </w:r>
      <w:r>
        <w:rPr>
          <w:rFonts w:ascii="Times New Roman" w:eastAsia="仿宋_GB2312" w:cs="Times New Roman"/>
          <w:sz w:val="32"/>
          <w:szCs w:val="32"/>
        </w:rPr>
        <w:t>年，全省水环境质量总体保持优良，119个地表水国控断面达到或优于Ⅲ类水质断面比例占99.2%，23个主要河流出境断面全部达到Ⅲ类及以上水质类别。</w:t>
      </w:r>
    </w:p>
    <w:p w14:paraId="7133DCFE">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rPr>
          <w:rFonts w:ascii="Times New Roman" w:eastAsia="仿宋_GB2312" w:cs="Times New Roman"/>
          <w:sz w:val="32"/>
          <w:szCs w:val="32"/>
        </w:rPr>
      </w:pPr>
      <w:r>
        <w:rPr>
          <w:rFonts w:hint="eastAsia" w:ascii="宋体" w:hAnsi="宋体" w:eastAsia="宋体" w:cs="宋体"/>
          <w:sz w:val="32"/>
          <w:szCs w:val="32"/>
        </w:rPr>
        <w:t>②</w:t>
      </w:r>
      <w:r>
        <w:rPr>
          <w:rFonts w:ascii="Times New Roman" w:eastAsia="仿宋_GB2312" w:cs="Times New Roman"/>
          <w:sz w:val="32"/>
          <w:szCs w:val="32"/>
        </w:rPr>
        <w:t>地表水劣V类水体降低比例达到国家下达的年度目标值。实际完成情况：202</w:t>
      </w:r>
      <w:r>
        <w:rPr>
          <w:rFonts w:hint="eastAsia" w:ascii="Times New Roman" w:eastAsia="仿宋_GB2312" w:cs="Times New Roman"/>
          <w:sz w:val="32"/>
          <w:szCs w:val="32"/>
        </w:rPr>
        <w:t>4</w:t>
      </w:r>
      <w:r>
        <w:rPr>
          <w:rFonts w:ascii="Times New Roman" w:eastAsia="仿宋_GB2312" w:cs="Times New Roman"/>
          <w:sz w:val="32"/>
          <w:szCs w:val="32"/>
        </w:rPr>
        <w:t>年无劣V类水体。</w:t>
      </w:r>
    </w:p>
    <w:p w14:paraId="526B0D30">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rPr>
          <w:rFonts w:ascii="Times New Roman" w:eastAsia="仿宋_GB2312" w:cs="Times New Roman"/>
          <w:sz w:val="32"/>
          <w:szCs w:val="32"/>
        </w:rPr>
      </w:pPr>
      <w:r>
        <w:rPr>
          <w:rFonts w:hint="eastAsia" w:ascii="宋体" w:hAnsi="宋体" w:eastAsia="宋体" w:cs="宋体"/>
          <w:sz w:val="32"/>
          <w:szCs w:val="32"/>
        </w:rPr>
        <w:t>③</w:t>
      </w:r>
      <w:r>
        <w:rPr>
          <w:rFonts w:hint="eastAsia" w:ascii="Times New Roman" w:eastAsia="仿宋_GB2312" w:cs="Times New Roman"/>
          <w:sz w:val="32"/>
          <w:szCs w:val="32"/>
        </w:rPr>
        <w:t>县</w:t>
      </w:r>
      <w:r>
        <w:rPr>
          <w:rFonts w:ascii="Times New Roman" w:eastAsia="仿宋_GB2312" w:cs="Times New Roman"/>
          <w:sz w:val="32"/>
          <w:szCs w:val="32"/>
        </w:rPr>
        <w:t>级及以上城市集中式饮用水水源水质达到或优于Ⅲ类比例达到国家下达的年度目标值。实际完成情况：集中式饮用水源地水质优良，县级及以上集中式饮用水水源地水质达标率100%。</w:t>
      </w:r>
    </w:p>
    <w:p w14:paraId="6BCF4087">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rPr>
          <w:rFonts w:ascii="Times New Roman" w:eastAsia="仿宋_GB2312" w:cs="Times New Roman"/>
          <w:sz w:val="32"/>
          <w:szCs w:val="32"/>
        </w:rPr>
      </w:pPr>
      <w:r>
        <w:rPr>
          <w:rFonts w:hint="eastAsia" w:ascii="宋体" w:hAnsi="宋体" w:eastAsia="宋体" w:cs="宋体"/>
          <w:sz w:val="32"/>
          <w:szCs w:val="32"/>
        </w:rPr>
        <w:t>④</w:t>
      </w:r>
      <w:r>
        <w:rPr>
          <w:rFonts w:ascii="Times New Roman" w:eastAsia="仿宋_GB2312" w:cs="Times New Roman"/>
          <w:sz w:val="32"/>
          <w:szCs w:val="32"/>
        </w:rPr>
        <w:t>地下水国控点位V类比例达到国家下达的年度目标值。202</w:t>
      </w:r>
      <w:r>
        <w:rPr>
          <w:rFonts w:hint="eastAsia" w:ascii="Times New Roman" w:eastAsia="仿宋_GB2312" w:cs="Times New Roman"/>
          <w:sz w:val="32"/>
          <w:szCs w:val="32"/>
        </w:rPr>
        <w:t>4</w:t>
      </w:r>
      <w:r>
        <w:rPr>
          <w:rFonts w:ascii="Times New Roman" w:eastAsia="仿宋_GB2312" w:cs="Times New Roman"/>
          <w:sz w:val="32"/>
          <w:szCs w:val="32"/>
        </w:rPr>
        <w:t>年的地下水国考点区域点位</w:t>
      </w:r>
      <w:r>
        <w:rPr>
          <w:rFonts w:hint="eastAsia" w:ascii="Times New Roman" w:eastAsia="仿宋_GB2312" w:cs="Times New Roman"/>
          <w:sz w:val="32"/>
          <w:szCs w:val="32"/>
        </w:rPr>
        <w:t>水质</w:t>
      </w:r>
      <w:r>
        <w:rPr>
          <w:rFonts w:ascii="Times New Roman" w:eastAsia="仿宋_GB2312" w:cs="Times New Roman"/>
          <w:sz w:val="32"/>
          <w:szCs w:val="32"/>
        </w:rPr>
        <w:t>恶化点位数</w:t>
      </w:r>
      <w:r>
        <w:rPr>
          <w:rFonts w:hint="eastAsia" w:ascii="Times New Roman" w:eastAsia="仿宋_GB2312" w:cs="Times New Roman"/>
          <w:sz w:val="32"/>
          <w:szCs w:val="32"/>
        </w:rPr>
        <w:t>0个，达到国家目标要求</w:t>
      </w:r>
      <w:r>
        <w:rPr>
          <w:rFonts w:ascii="Times New Roman" w:eastAsia="仿宋_GB2312" w:cs="Times New Roman"/>
          <w:sz w:val="32"/>
          <w:szCs w:val="32"/>
        </w:rPr>
        <w:t>。</w:t>
      </w:r>
    </w:p>
    <w:p w14:paraId="08805BD2">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outlineLvl w:val="2"/>
        <w:rPr>
          <w:rFonts w:ascii="Times New Roman" w:eastAsia="仿宋_GB2312" w:cs="Times New Roman"/>
          <w:bCs/>
          <w:sz w:val="32"/>
          <w:szCs w:val="32"/>
        </w:rPr>
      </w:pPr>
      <w:r>
        <w:rPr>
          <w:rFonts w:ascii="Times New Roman" w:eastAsia="仿宋_GB2312" w:cs="Times New Roman"/>
          <w:bCs/>
          <w:sz w:val="32"/>
          <w:szCs w:val="32"/>
        </w:rPr>
        <w:t>3.满意度指标完成情况分析</w:t>
      </w:r>
    </w:p>
    <w:p w14:paraId="53434DEB">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rPr>
          <w:rFonts w:ascii="Times New Roman" w:eastAsia="仿宋_GB2312" w:cs="Times New Roman"/>
          <w:sz w:val="32"/>
          <w:szCs w:val="32"/>
        </w:rPr>
      </w:pPr>
      <w:r>
        <w:rPr>
          <w:rFonts w:ascii="Times New Roman" w:eastAsia="仿宋_GB2312" w:cs="Times New Roman"/>
          <w:sz w:val="32"/>
          <w:szCs w:val="32"/>
        </w:rPr>
        <w:t>服务对象满意度要求为群众满意度≥90%。已完工项目服务对象满意度指标大于等于90%，根据已完工项目指标自评，完成国家指标。</w:t>
      </w:r>
    </w:p>
    <w:p w14:paraId="76859807">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outlineLvl w:val="0"/>
        <w:rPr>
          <w:rFonts w:ascii="Times New Roman" w:eastAsia="黑体" w:cs="Times New Roman"/>
          <w:kern w:val="44"/>
          <w:sz w:val="32"/>
          <w:szCs w:val="32"/>
        </w:rPr>
      </w:pPr>
      <w:r>
        <w:rPr>
          <w:rFonts w:hint="eastAsia" w:ascii="Times New Roman" w:eastAsia="黑体" w:cs="Times New Roman"/>
          <w:kern w:val="44"/>
          <w:sz w:val="32"/>
          <w:szCs w:val="32"/>
          <w:lang w:eastAsia="zh-CN"/>
        </w:rPr>
        <w:t>三</w:t>
      </w:r>
      <w:r>
        <w:rPr>
          <w:rFonts w:ascii="Times New Roman" w:eastAsia="黑体" w:cs="Times New Roman"/>
          <w:kern w:val="44"/>
          <w:sz w:val="32"/>
          <w:szCs w:val="32"/>
        </w:rPr>
        <w:t>、绩效自评结果拟应用和公开情况</w:t>
      </w:r>
    </w:p>
    <w:p w14:paraId="73D231ED">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rPr>
          <w:rFonts w:ascii="Times New Roman" w:eastAsia="仿宋_GB2312" w:cs="Times New Roman"/>
          <w:sz w:val="32"/>
          <w:szCs w:val="32"/>
        </w:rPr>
      </w:pPr>
      <w:r>
        <w:rPr>
          <w:rFonts w:ascii="Times New Roman" w:eastAsia="仿宋_GB2312" w:cs="Times New Roman"/>
          <w:sz w:val="32"/>
          <w:szCs w:val="32"/>
        </w:rPr>
        <w:t>针对绩效自评结果，拟通过以下措施，强化绩效自评结果的应用：</w:t>
      </w:r>
      <w:r>
        <w:rPr>
          <w:rFonts w:hint="eastAsia" w:ascii="黑体" w:hAnsi="黑体" w:eastAsia="黑体" w:cs="黑体"/>
          <w:bCs/>
          <w:sz w:val="32"/>
          <w:szCs w:val="32"/>
        </w:rPr>
        <w:t>一是</w:t>
      </w:r>
      <w:r>
        <w:rPr>
          <w:rFonts w:ascii="Times New Roman" w:eastAsia="仿宋_GB2312" w:cs="Times New Roman"/>
          <w:sz w:val="32"/>
          <w:szCs w:val="32"/>
        </w:rPr>
        <w:t>拟公开自评结果，利用绩效自评成果改进下一年度绩效自评指标，并将绩效自评结果在厅门户网站公开，接受社会监督，从而完善项目自评机制。</w:t>
      </w:r>
      <w:r>
        <w:rPr>
          <w:rFonts w:hint="eastAsia" w:ascii="黑体" w:hAnsi="黑体" w:eastAsia="黑体" w:cs="黑体"/>
          <w:bCs/>
          <w:sz w:val="32"/>
          <w:szCs w:val="32"/>
        </w:rPr>
        <w:t>二是</w:t>
      </w:r>
      <w:r>
        <w:rPr>
          <w:rFonts w:ascii="Times New Roman" w:eastAsia="仿宋_GB2312" w:cs="Times New Roman"/>
          <w:sz w:val="32"/>
          <w:szCs w:val="32"/>
        </w:rPr>
        <w:t>与下一年度预算安排结合，本次自评结果作为下一年度预算的重要依据。</w:t>
      </w:r>
      <w:r>
        <w:rPr>
          <w:rFonts w:hint="eastAsia" w:ascii="黑体" w:hAnsi="黑体" w:eastAsia="黑体" w:cs="黑体"/>
          <w:bCs/>
          <w:sz w:val="32"/>
          <w:szCs w:val="32"/>
        </w:rPr>
        <w:t>三是</w:t>
      </w:r>
      <w:r>
        <w:rPr>
          <w:rFonts w:ascii="Times New Roman" w:eastAsia="仿宋_GB2312" w:cs="Times New Roman"/>
          <w:sz w:val="32"/>
          <w:szCs w:val="32"/>
        </w:rPr>
        <w:t>及时总结经验，改进管理措施，完善工作机制，有效提高资金管理水平和使用效率，确保项目按既定要求完成，及时发挥财政资金效能。</w:t>
      </w:r>
    </w:p>
    <w:p w14:paraId="27EFF68C">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outlineLvl w:val="0"/>
        <w:rPr>
          <w:rFonts w:ascii="Times New Roman" w:eastAsia="仿宋_GB2312" w:cs="Times New Roman"/>
          <w:sz w:val="32"/>
          <w:szCs w:val="32"/>
        </w:rPr>
      </w:pPr>
      <w:r>
        <w:rPr>
          <w:rFonts w:hint="eastAsia" w:ascii="Times New Roman" w:eastAsia="黑体" w:cs="Times New Roman"/>
          <w:kern w:val="44"/>
          <w:sz w:val="32"/>
          <w:szCs w:val="32"/>
          <w:lang w:eastAsia="zh-CN"/>
        </w:rPr>
        <w:t>四</w:t>
      </w:r>
      <w:r>
        <w:rPr>
          <w:rFonts w:ascii="Times New Roman" w:eastAsia="黑体" w:cs="Times New Roman"/>
          <w:kern w:val="44"/>
          <w:sz w:val="32"/>
          <w:szCs w:val="32"/>
        </w:rPr>
        <w:t>、其他需要说明的问题</w:t>
      </w:r>
    </w:p>
    <w:p w14:paraId="6756EC47">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rPr>
          <w:rFonts w:ascii="Times New Roman" w:eastAsia="仿宋_GB2312" w:cs="Times New Roman"/>
          <w:sz w:val="32"/>
          <w:szCs w:val="32"/>
        </w:rPr>
      </w:pPr>
      <w:r>
        <w:rPr>
          <w:rFonts w:ascii="Times New Roman" w:eastAsia="仿宋_GB2312" w:cs="Times New Roman"/>
          <w:sz w:val="32"/>
          <w:szCs w:val="32"/>
        </w:rPr>
        <w:t>无。</w:t>
      </w:r>
    </w:p>
    <w:p w14:paraId="2E54A09E">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rPr>
          <w:rFonts w:ascii="Times New Roman" w:eastAsia="仿宋_GB2312" w:cs="Times New Roman"/>
          <w:sz w:val="32"/>
          <w:szCs w:val="32"/>
        </w:rPr>
      </w:pPr>
      <w:r>
        <w:rPr>
          <w:rFonts w:hint="eastAsia" w:ascii="Times New Roman" w:eastAsia="黑体" w:cs="Times New Roman"/>
          <w:sz w:val="32"/>
          <w:szCs w:val="32"/>
          <w:lang w:eastAsia="zh-CN"/>
        </w:rPr>
        <w:t>五</w:t>
      </w:r>
      <w:r>
        <w:rPr>
          <w:rFonts w:ascii="Times New Roman" w:eastAsia="黑体" w:cs="Times New Roman"/>
          <w:sz w:val="32"/>
          <w:szCs w:val="32"/>
        </w:rPr>
        <w:t>、附表</w:t>
      </w:r>
      <w:r>
        <w:rPr>
          <w:rFonts w:ascii="Times New Roman" w:eastAsia="仿宋_GB2312" w:cs="Times New Roman"/>
          <w:sz w:val="32"/>
          <w:szCs w:val="32"/>
        </w:rPr>
        <w:t xml:space="preserve"> </w:t>
      </w:r>
    </w:p>
    <w:p w14:paraId="4744EA92">
      <w:pPr>
        <w:pBdr>
          <w:top w:val="single" w:color="FFFFFF" w:sz="4" w:space="0"/>
          <w:left w:val="single" w:color="FFFFFF" w:sz="4" w:space="31"/>
          <w:bottom w:val="single" w:color="FFFFFF" w:sz="4" w:space="31"/>
          <w:right w:val="single" w:color="FFFFFF" w:sz="4" w:space="31"/>
        </w:pBdr>
        <w:topLinePunct/>
        <w:adjustRightInd w:val="0"/>
        <w:snapToGrid w:val="0"/>
        <w:spacing w:line="560" w:lineRule="exact"/>
        <w:ind w:firstLine="640" w:firstLineChars="200"/>
        <w:rPr>
          <w:rFonts w:ascii="Times New Roman" w:eastAsia="仿宋_GB2312" w:cs="Times New Roman"/>
          <w:sz w:val="32"/>
          <w:szCs w:val="32"/>
        </w:rPr>
      </w:pPr>
      <w:r>
        <w:rPr>
          <w:rFonts w:ascii="Times New Roman" w:eastAsia="仿宋_GB2312" w:cs="Times New Roman"/>
          <w:sz w:val="32"/>
          <w:szCs w:val="32"/>
        </w:rPr>
        <w:t>贵州省水污染防治资金转移支付区域（项目）绩效目标自评</w:t>
      </w:r>
    </w:p>
    <w:p w14:paraId="486EB9D2">
      <w:pPr>
        <w:pStyle w:val="28"/>
        <w:sectPr>
          <w:footerReference r:id="rId3" w:type="default"/>
          <w:pgSz w:w="11906" w:h="16838"/>
          <w:pgMar w:top="2098" w:right="1474" w:bottom="1985" w:left="1588" w:header="851" w:footer="992" w:gutter="0"/>
          <w:pgNumType w:start="1"/>
          <w:cols w:space="720" w:num="1"/>
          <w:docGrid w:type="lines" w:linePitch="312" w:charSpace="0"/>
        </w:sectPr>
      </w:pPr>
    </w:p>
    <w:tbl>
      <w:tblPr>
        <w:tblStyle w:val="15"/>
        <w:tblW w:w="4997" w:type="pct"/>
        <w:tblInd w:w="0" w:type="dxa"/>
        <w:tblLayout w:type="autofit"/>
        <w:tblCellMar>
          <w:top w:w="0" w:type="dxa"/>
          <w:left w:w="108" w:type="dxa"/>
          <w:bottom w:w="0" w:type="dxa"/>
          <w:right w:w="108" w:type="dxa"/>
        </w:tblCellMar>
      </w:tblPr>
      <w:tblGrid>
        <w:gridCol w:w="1366"/>
        <w:gridCol w:w="1220"/>
        <w:gridCol w:w="1283"/>
        <w:gridCol w:w="3240"/>
        <w:gridCol w:w="1823"/>
        <w:gridCol w:w="2734"/>
        <w:gridCol w:w="281"/>
        <w:gridCol w:w="1130"/>
        <w:gridCol w:w="2528"/>
      </w:tblGrid>
      <w:tr w14:paraId="1968B1E6">
        <w:tblPrEx>
          <w:tblCellMar>
            <w:top w:w="0" w:type="dxa"/>
            <w:left w:w="108" w:type="dxa"/>
            <w:bottom w:w="0" w:type="dxa"/>
            <w:right w:w="108" w:type="dxa"/>
          </w:tblCellMar>
        </w:tblPrEx>
        <w:trPr>
          <w:trHeight w:val="282" w:hRule="atLeast"/>
        </w:trPr>
        <w:tc>
          <w:tcPr>
            <w:tcW w:w="438" w:type="pct"/>
            <w:tcBorders>
              <w:top w:val="nil"/>
              <w:left w:val="nil"/>
              <w:bottom w:val="nil"/>
              <w:right w:val="nil"/>
            </w:tcBorders>
            <w:shd w:val="clear" w:color="auto" w:fill="FFFFFF"/>
            <w:noWrap/>
            <w:vAlign w:val="center"/>
          </w:tcPr>
          <w:p w14:paraId="6294E0D6">
            <w:pPr>
              <w:widowControl/>
              <w:jc w:val="center"/>
              <w:textAlignment w:val="center"/>
              <w:rPr>
                <w:rFonts w:ascii="黑体" w:hAnsi="宋体" w:eastAsia="黑体" w:cs="黑体"/>
                <w:color w:val="000000"/>
                <w:sz w:val="22"/>
              </w:rPr>
            </w:pPr>
            <w:r>
              <w:rPr>
                <w:rFonts w:hint="eastAsia" w:ascii="黑体" w:hAnsi="宋体" w:eastAsia="黑体" w:cs="黑体"/>
                <w:color w:val="000000"/>
                <w:kern w:val="0"/>
                <w:sz w:val="22"/>
                <w:lang w:bidi="ar"/>
              </w:rPr>
              <w:t>附表1</w:t>
            </w:r>
          </w:p>
        </w:tc>
        <w:tc>
          <w:tcPr>
            <w:tcW w:w="391" w:type="pct"/>
            <w:tcBorders>
              <w:top w:val="nil"/>
              <w:left w:val="nil"/>
              <w:bottom w:val="nil"/>
              <w:right w:val="nil"/>
            </w:tcBorders>
            <w:shd w:val="clear" w:color="auto" w:fill="FFFFFF"/>
            <w:noWrap/>
            <w:vAlign w:val="center"/>
          </w:tcPr>
          <w:p w14:paraId="5BC44F79">
            <w:pPr>
              <w:jc w:val="center"/>
              <w:rPr>
                <w:rFonts w:ascii="宋体" w:hAnsi="宋体" w:eastAsia="宋体" w:cs="宋体"/>
                <w:color w:val="000000"/>
                <w:sz w:val="22"/>
              </w:rPr>
            </w:pPr>
          </w:p>
        </w:tc>
        <w:tc>
          <w:tcPr>
            <w:tcW w:w="411" w:type="pct"/>
            <w:tcBorders>
              <w:top w:val="nil"/>
              <w:left w:val="nil"/>
              <w:bottom w:val="nil"/>
              <w:right w:val="nil"/>
            </w:tcBorders>
            <w:shd w:val="clear" w:color="auto" w:fill="FFFFFF"/>
            <w:vAlign w:val="center"/>
          </w:tcPr>
          <w:p w14:paraId="6A03978D">
            <w:pPr>
              <w:jc w:val="center"/>
              <w:rPr>
                <w:rFonts w:ascii="宋体" w:hAnsi="宋体" w:eastAsia="宋体" w:cs="宋体"/>
                <w:color w:val="000000"/>
                <w:sz w:val="22"/>
              </w:rPr>
            </w:pPr>
          </w:p>
        </w:tc>
        <w:tc>
          <w:tcPr>
            <w:tcW w:w="1038" w:type="pct"/>
            <w:tcBorders>
              <w:top w:val="nil"/>
              <w:left w:val="nil"/>
              <w:bottom w:val="nil"/>
              <w:right w:val="nil"/>
            </w:tcBorders>
            <w:shd w:val="clear" w:color="auto" w:fill="FFFFFF"/>
            <w:noWrap/>
            <w:vAlign w:val="center"/>
          </w:tcPr>
          <w:p w14:paraId="45183A90">
            <w:pPr>
              <w:jc w:val="center"/>
              <w:rPr>
                <w:rFonts w:ascii="宋体" w:hAnsi="宋体" w:eastAsia="宋体" w:cs="宋体"/>
                <w:color w:val="000000"/>
                <w:sz w:val="22"/>
              </w:rPr>
            </w:pPr>
          </w:p>
        </w:tc>
        <w:tc>
          <w:tcPr>
            <w:tcW w:w="584" w:type="pct"/>
            <w:tcBorders>
              <w:top w:val="nil"/>
              <w:left w:val="nil"/>
              <w:bottom w:val="nil"/>
              <w:right w:val="nil"/>
            </w:tcBorders>
            <w:shd w:val="clear" w:color="auto" w:fill="FFFFFF"/>
            <w:noWrap/>
            <w:vAlign w:val="center"/>
          </w:tcPr>
          <w:p w14:paraId="5DE705C5">
            <w:pPr>
              <w:jc w:val="center"/>
              <w:rPr>
                <w:rFonts w:ascii="宋体" w:hAnsi="宋体" w:eastAsia="宋体" w:cs="宋体"/>
                <w:color w:val="000000"/>
                <w:sz w:val="22"/>
              </w:rPr>
            </w:pPr>
          </w:p>
        </w:tc>
        <w:tc>
          <w:tcPr>
            <w:tcW w:w="876" w:type="pct"/>
            <w:tcBorders>
              <w:top w:val="nil"/>
              <w:left w:val="nil"/>
              <w:bottom w:val="nil"/>
              <w:right w:val="nil"/>
            </w:tcBorders>
            <w:shd w:val="clear" w:color="auto" w:fill="FFFFFF"/>
            <w:noWrap/>
            <w:vAlign w:val="center"/>
          </w:tcPr>
          <w:p w14:paraId="67520981">
            <w:pPr>
              <w:jc w:val="center"/>
              <w:rPr>
                <w:rFonts w:ascii="宋体" w:hAnsi="宋体" w:eastAsia="宋体" w:cs="宋体"/>
                <w:color w:val="000000"/>
                <w:sz w:val="22"/>
              </w:rPr>
            </w:pPr>
          </w:p>
        </w:tc>
        <w:tc>
          <w:tcPr>
            <w:tcW w:w="89" w:type="pct"/>
            <w:tcBorders>
              <w:top w:val="nil"/>
              <w:left w:val="nil"/>
              <w:bottom w:val="nil"/>
              <w:right w:val="nil"/>
            </w:tcBorders>
            <w:shd w:val="clear" w:color="auto" w:fill="FFFFFF"/>
            <w:noWrap/>
            <w:vAlign w:val="center"/>
          </w:tcPr>
          <w:p w14:paraId="1593AB82">
            <w:pPr>
              <w:jc w:val="center"/>
              <w:rPr>
                <w:rFonts w:ascii="宋体" w:hAnsi="宋体" w:eastAsia="宋体" w:cs="宋体"/>
                <w:color w:val="000000"/>
                <w:sz w:val="22"/>
              </w:rPr>
            </w:pPr>
          </w:p>
        </w:tc>
        <w:tc>
          <w:tcPr>
            <w:tcW w:w="362" w:type="pct"/>
            <w:tcBorders>
              <w:top w:val="nil"/>
              <w:left w:val="nil"/>
              <w:bottom w:val="nil"/>
              <w:right w:val="nil"/>
            </w:tcBorders>
            <w:shd w:val="clear" w:color="auto" w:fill="FFFFFF"/>
            <w:noWrap/>
            <w:vAlign w:val="center"/>
          </w:tcPr>
          <w:p w14:paraId="60270764">
            <w:pPr>
              <w:jc w:val="center"/>
              <w:rPr>
                <w:rFonts w:ascii="宋体" w:hAnsi="宋体" w:eastAsia="宋体" w:cs="宋体"/>
                <w:color w:val="000000"/>
                <w:sz w:val="22"/>
              </w:rPr>
            </w:pPr>
          </w:p>
        </w:tc>
        <w:tc>
          <w:tcPr>
            <w:tcW w:w="808" w:type="pct"/>
            <w:tcBorders>
              <w:top w:val="nil"/>
              <w:left w:val="nil"/>
              <w:bottom w:val="nil"/>
              <w:right w:val="nil"/>
            </w:tcBorders>
            <w:shd w:val="clear" w:color="auto" w:fill="FFFFFF"/>
            <w:noWrap/>
            <w:vAlign w:val="center"/>
          </w:tcPr>
          <w:p w14:paraId="3DAEC68C">
            <w:pPr>
              <w:jc w:val="center"/>
              <w:rPr>
                <w:rFonts w:ascii="宋体" w:hAnsi="宋体" w:eastAsia="宋体" w:cs="宋体"/>
                <w:color w:val="000000"/>
                <w:sz w:val="22"/>
              </w:rPr>
            </w:pPr>
          </w:p>
        </w:tc>
      </w:tr>
      <w:tr w14:paraId="308A8DF5">
        <w:tblPrEx>
          <w:tblCellMar>
            <w:top w:w="0" w:type="dxa"/>
            <w:left w:w="108" w:type="dxa"/>
            <w:bottom w:w="0" w:type="dxa"/>
            <w:right w:w="108" w:type="dxa"/>
          </w:tblCellMar>
        </w:tblPrEx>
        <w:trPr>
          <w:trHeight w:val="462" w:hRule="atLeast"/>
        </w:trPr>
        <w:tc>
          <w:tcPr>
            <w:tcW w:w="5000" w:type="pct"/>
            <w:gridSpan w:val="9"/>
            <w:tcBorders>
              <w:top w:val="nil"/>
              <w:left w:val="nil"/>
              <w:bottom w:val="nil"/>
              <w:right w:val="nil"/>
            </w:tcBorders>
            <w:shd w:val="clear" w:color="auto" w:fill="FFFFFF"/>
            <w:noWrap/>
            <w:vAlign w:val="center"/>
          </w:tcPr>
          <w:p w14:paraId="19569240">
            <w:pPr>
              <w:widowControl/>
              <w:jc w:val="center"/>
              <w:textAlignment w:val="center"/>
              <w:rPr>
                <w:rFonts w:ascii="宋体" w:hAnsi="宋体" w:eastAsia="宋体" w:cs="宋体"/>
                <w:b/>
                <w:bCs/>
                <w:color w:val="000000"/>
                <w:sz w:val="36"/>
                <w:szCs w:val="36"/>
              </w:rPr>
            </w:pPr>
            <w:r>
              <w:rPr>
                <w:rFonts w:hint="eastAsia" w:ascii="宋体" w:hAnsi="宋体" w:eastAsia="宋体" w:cs="宋体"/>
                <w:b/>
                <w:bCs/>
                <w:color w:val="000000"/>
                <w:kern w:val="0"/>
                <w:sz w:val="36"/>
                <w:szCs w:val="36"/>
                <w:lang w:bidi="ar"/>
              </w:rPr>
              <w:t>贵州省水污染防治资金转移支付区域（项目）绩效自评表</w:t>
            </w:r>
          </w:p>
        </w:tc>
      </w:tr>
      <w:tr w14:paraId="66EE0A96">
        <w:tblPrEx>
          <w:tblCellMar>
            <w:top w:w="0" w:type="dxa"/>
            <w:left w:w="108" w:type="dxa"/>
            <w:bottom w:w="0" w:type="dxa"/>
            <w:right w:w="108" w:type="dxa"/>
          </w:tblCellMar>
        </w:tblPrEx>
        <w:trPr>
          <w:trHeight w:val="282" w:hRule="atLeast"/>
        </w:trPr>
        <w:tc>
          <w:tcPr>
            <w:tcW w:w="5000" w:type="pct"/>
            <w:gridSpan w:val="9"/>
            <w:tcBorders>
              <w:top w:val="nil"/>
              <w:left w:val="nil"/>
              <w:bottom w:val="nil"/>
              <w:right w:val="nil"/>
            </w:tcBorders>
            <w:shd w:val="clear" w:color="auto" w:fill="FFFFFF"/>
            <w:noWrap/>
            <w:vAlign w:val="center"/>
          </w:tcPr>
          <w:p w14:paraId="572A456B">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（2024年度）</w:t>
            </w:r>
          </w:p>
        </w:tc>
      </w:tr>
      <w:tr w14:paraId="205BB5CE">
        <w:tblPrEx>
          <w:tblCellMar>
            <w:top w:w="0" w:type="dxa"/>
            <w:left w:w="108" w:type="dxa"/>
            <w:bottom w:w="0" w:type="dxa"/>
            <w:right w:w="108" w:type="dxa"/>
          </w:tblCellMar>
        </w:tblPrEx>
        <w:trPr>
          <w:trHeight w:val="462" w:hRule="atLeast"/>
        </w:trPr>
        <w:tc>
          <w:tcPr>
            <w:tcW w:w="1240"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373B3C2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转移支付（项目）名称</w:t>
            </w:r>
          </w:p>
        </w:tc>
        <w:tc>
          <w:tcPr>
            <w:tcW w:w="3759" w:type="pct"/>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14:paraId="78F417F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2024年水污染防治资金</w:t>
            </w:r>
          </w:p>
        </w:tc>
      </w:tr>
      <w:tr w14:paraId="683D9124">
        <w:tblPrEx>
          <w:tblCellMar>
            <w:top w:w="0" w:type="dxa"/>
            <w:left w:w="108" w:type="dxa"/>
            <w:bottom w:w="0" w:type="dxa"/>
            <w:right w:w="108" w:type="dxa"/>
          </w:tblCellMar>
        </w:tblPrEx>
        <w:trPr>
          <w:trHeight w:val="435" w:hRule="atLeast"/>
        </w:trPr>
        <w:tc>
          <w:tcPr>
            <w:tcW w:w="1240"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3CB4029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中央主管部门</w:t>
            </w:r>
          </w:p>
        </w:tc>
        <w:tc>
          <w:tcPr>
            <w:tcW w:w="3759" w:type="pct"/>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14:paraId="45B42A4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财政部、生态环境部</w:t>
            </w:r>
          </w:p>
        </w:tc>
      </w:tr>
      <w:tr w14:paraId="70B846EA">
        <w:tblPrEx>
          <w:tblCellMar>
            <w:top w:w="0" w:type="dxa"/>
            <w:left w:w="108" w:type="dxa"/>
            <w:bottom w:w="0" w:type="dxa"/>
            <w:right w:w="108" w:type="dxa"/>
          </w:tblCellMar>
        </w:tblPrEx>
        <w:trPr>
          <w:trHeight w:val="525" w:hRule="atLeast"/>
        </w:trPr>
        <w:tc>
          <w:tcPr>
            <w:tcW w:w="1240"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3D6F615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地方主管部门</w:t>
            </w: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55085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贵州省财政厅、贵州省生态环境厅</w:t>
            </w:r>
          </w:p>
        </w:tc>
        <w:tc>
          <w:tcPr>
            <w:tcW w:w="1460"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053F7B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资金使用单位</w:t>
            </w:r>
          </w:p>
        </w:tc>
        <w:tc>
          <w:tcPr>
            <w:tcW w:w="1260"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7C79242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各级生态环境部门</w:t>
            </w:r>
          </w:p>
        </w:tc>
      </w:tr>
      <w:tr w14:paraId="685C8A18">
        <w:tblPrEx>
          <w:tblCellMar>
            <w:top w:w="0" w:type="dxa"/>
            <w:left w:w="108" w:type="dxa"/>
            <w:bottom w:w="0" w:type="dxa"/>
            <w:right w:w="108" w:type="dxa"/>
          </w:tblCellMar>
        </w:tblPrEx>
        <w:trPr>
          <w:trHeight w:val="709" w:hRule="atLeast"/>
        </w:trPr>
        <w:tc>
          <w:tcPr>
            <w:tcW w:w="1240" w:type="pct"/>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D86355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资金投入情况                 </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（万元）</w:t>
            </w: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2088B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年度资金总额：</w:t>
            </w:r>
          </w:p>
        </w:tc>
        <w:tc>
          <w:tcPr>
            <w:tcW w:w="1460"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60C393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全年预算数（A）</w:t>
            </w:r>
          </w:p>
        </w:tc>
        <w:tc>
          <w:tcPr>
            <w:tcW w:w="451"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38F697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全年执行数（B）</w:t>
            </w:r>
          </w:p>
        </w:tc>
        <w:tc>
          <w:tcPr>
            <w:tcW w:w="80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2EAE8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预算执行率（B/A×100%)</w:t>
            </w:r>
          </w:p>
        </w:tc>
      </w:tr>
      <w:tr w14:paraId="6B9B8859">
        <w:tblPrEx>
          <w:tblCellMar>
            <w:top w:w="0" w:type="dxa"/>
            <w:left w:w="108" w:type="dxa"/>
            <w:bottom w:w="0" w:type="dxa"/>
            <w:right w:w="108" w:type="dxa"/>
          </w:tblCellMar>
        </w:tblPrEx>
        <w:trPr>
          <w:trHeight w:val="330" w:hRule="atLeast"/>
        </w:trPr>
        <w:tc>
          <w:tcPr>
            <w:tcW w:w="1240"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F20D112">
            <w:pPr>
              <w:jc w:val="center"/>
              <w:rPr>
                <w:rFonts w:ascii="宋体" w:hAnsi="宋体" w:eastAsia="宋体" w:cs="宋体"/>
                <w:color w:val="000000"/>
                <w:sz w:val="20"/>
                <w:szCs w:val="20"/>
              </w:rPr>
            </w:pP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C9825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其中：中央财政资金</w:t>
            </w:r>
          </w:p>
        </w:tc>
        <w:tc>
          <w:tcPr>
            <w:tcW w:w="1460"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FF33E3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74986</w:t>
            </w:r>
          </w:p>
        </w:tc>
        <w:tc>
          <w:tcPr>
            <w:tcW w:w="451"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A5C29F2">
            <w:pPr>
              <w:widowControl/>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lang w:bidi="ar"/>
              </w:rPr>
              <w:t>12496.10</w:t>
            </w:r>
          </w:p>
        </w:tc>
        <w:tc>
          <w:tcPr>
            <w:tcW w:w="80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6034F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16.66%</w:t>
            </w:r>
          </w:p>
        </w:tc>
      </w:tr>
      <w:tr w14:paraId="5AD7BD63">
        <w:tblPrEx>
          <w:tblCellMar>
            <w:top w:w="0" w:type="dxa"/>
            <w:left w:w="108" w:type="dxa"/>
            <w:bottom w:w="0" w:type="dxa"/>
            <w:right w:w="108" w:type="dxa"/>
          </w:tblCellMar>
        </w:tblPrEx>
        <w:trPr>
          <w:trHeight w:val="330" w:hRule="atLeast"/>
        </w:trPr>
        <w:tc>
          <w:tcPr>
            <w:tcW w:w="1240"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26E68EF">
            <w:pPr>
              <w:jc w:val="center"/>
              <w:rPr>
                <w:rFonts w:ascii="宋体" w:hAnsi="宋体" w:eastAsia="宋体" w:cs="宋体"/>
                <w:color w:val="000000"/>
                <w:sz w:val="20"/>
                <w:szCs w:val="20"/>
              </w:rPr>
            </w:pP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92FA2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地方财政资金</w:t>
            </w:r>
          </w:p>
        </w:tc>
        <w:tc>
          <w:tcPr>
            <w:tcW w:w="1460"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2AAD34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28674.194</w:t>
            </w:r>
          </w:p>
        </w:tc>
        <w:tc>
          <w:tcPr>
            <w:tcW w:w="451"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1CC381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80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6B0FD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r>
      <w:tr w14:paraId="6A7DA546">
        <w:tblPrEx>
          <w:tblCellMar>
            <w:top w:w="0" w:type="dxa"/>
            <w:left w:w="108" w:type="dxa"/>
            <w:bottom w:w="0" w:type="dxa"/>
            <w:right w:w="108" w:type="dxa"/>
          </w:tblCellMar>
        </w:tblPrEx>
        <w:trPr>
          <w:trHeight w:val="330" w:hRule="atLeast"/>
        </w:trPr>
        <w:tc>
          <w:tcPr>
            <w:tcW w:w="1240"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4D30737">
            <w:pPr>
              <w:jc w:val="center"/>
              <w:rPr>
                <w:rFonts w:ascii="宋体" w:hAnsi="宋体" w:eastAsia="宋体" w:cs="宋体"/>
                <w:color w:val="000000"/>
                <w:sz w:val="20"/>
                <w:szCs w:val="20"/>
              </w:rPr>
            </w:pP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3FEF7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其他资金</w:t>
            </w:r>
          </w:p>
        </w:tc>
        <w:tc>
          <w:tcPr>
            <w:tcW w:w="1460"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244FDA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451"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7DEE37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80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104A3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r>
      <w:tr w14:paraId="4584CD0D">
        <w:tblPrEx>
          <w:tblCellMar>
            <w:top w:w="0" w:type="dxa"/>
            <w:left w:w="108" w:type="dxa"/>
            <w:bottom w:w="0" w:type="dxa"/>
            <w:right w:w="108" w:type="dxa"/>
          </w:tblCellMar>
        </w:tblPrEx>
        <w:trPr>
          <w:trHeight w:val="510" w:hRule="atLeast"/>
        </w:trPr>
        <w:tc>
          <w:tcPr>
            <w:tcW w:w="1240" w:type="pct"/>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8ED69E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资金管理情况</w:t>
            </w: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5250DF">
            <w:pPr>
              <w:jc w:val="center"/>
              <w:rPr>
                <w:rFonts w:ascii="宋体" w:hAnsi="宋体" w:eastAsia="宋体" w:cs="宋体"/>
                <w:color w:val="000000"/>
                <w:sz w:val="20"/>
                <w:szCs w:val="20"/>
              </w:rPr>
            </w:pPr>
          </w:p>
        </w:tc>
        <w:tc>
          <w:tcPr>
            <w:tcW w:w="1460"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7BDE5D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情况说明</w:t>
            </w:r>
          </w:p>
        </w:tc>
        <w:tc>
          <w:tcPr>
            <w:tcW w:w="1260"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BB2A21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存在问题和改进措施</w:t>
            </w:r>
          </w:p>
        </w:tc>
      </w:tr>
      <w:tr w14:paraId="22ABE46A">
        <w:tblPrEx>
          <w:tblCellMar>
            <w:top w:w="0" w:type="dxa"/>
            <w:left w:w="108" w:type="dxa"/>
            <w:bottom w:w="0" w:type="dxa"/>
            <w:right w:w="108" w:type="dxa"/>
          </w:tblCellMar>
        </w:tblPrEx>
        <w:trPr>
          <w:trHeight w:val="1200" w:hRule="atLeast"/>
        </w:trPr>
        <w:tc>
          <w:tcPr>
            <w:tcW w:w="1240"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9A2289B">
            <w:pPr>
              <w:jc w:val="center"/>
              <w:rPr>
                <w:rFonts w:ascii="宋体" w:hAnsi="宋体" w:eastAsia="宋体" w:cs="宋体"/>
                <w:color w:val="000000"/>
                <w:sz w:val="20"/>
                <w:szCs w:val="20"/>
              </w:rPr>
            </w:pP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88BFD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分配科学性</w:t>
            </w:r>
          </w:p>
        </w:tc>
        <w:tc>
          <w:tcPr>
            <w:tcW w:w="1460"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89528A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严格按照转移支付管理制度及水污染防治资金管理办法规定的范围和标准分配资金。根据中央项目储备库建设情况，择优确定支持项目，报厅党委研究审议并征求生态环境部意见后，会商省财政厅下达资金预算。</w:t>
            </w:r>
          </w:p>
        </w:tc>
        <w:tc>
          <w:tcPr>
            <w:tcW w:w="1260"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ABF2E5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无</w:t>
            </w:r>
          </w:p>
        </w:tc>
      </w:tr>
      <w:tr w14:paraId="0B93E025">
        <w:tblPrEx>
          <w:tblCellMar>
            <w:top w:w="0" w:type="dxa"/>
            <w:left w:w="108" w:type="dxa"/>
            <w:bottom w:w="0" w:type="dxa"/>
            <w:right w:w="108" w:type="dxa"/>
          </w:tblCellMar>
        </w:tblPrEx>
        <w:trPr>
          <w:trHeight w:val="1485" w:hRule="atLeast"/>
        </w:trPr>
        <w:tc>
          <w:tcPr>
            <w:tcW w:w="1240"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94374B">
            <w:pPr>
              <w:jc w:val="center"/>
              <w:rPr>
                <w:rFonts w:ascii="宋体" w:hAnsi="宋体" w:eastAsia="宋体" w:cs="宋体"/>
                <w:color w:val="000000"/>
                <w:sz w:val="20"/>
                <w:szCs w:val="20"/>
              </w:rPr>
            </w:pP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2BE0F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下达及时性</w:t>
            </w:r>
          </w:p>
        </w:tc>
        <w:tc>
          <w:tcPr>
            <w:tcW w:w="1460"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55F469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按照预算法及其实施条例，第一批资金于2024年2月8日分解下达，第二批资金于2024年8月22日分解下达。</w:t>
            </w:r>
          </w:p>
        </w:tc>
        <w:tc>
          <w:tcPr>
            <w:tcW w:w="1260"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4A4E8D4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预算下达不及时，进一步加强项目储备库建设，提升项目入库数量和质量，提高项目提级论证通过率，按照生态环境部要求，做好项目审核和入库工作，提高项目分配效率，及时分解下达预算资金。</w:t>
            </w:r>
          </w:p>
        </w:tc>
      </w:tr>
      <w:tr w14:paraId="48055A54">
        <w:tblPrEx>
          <w:tblCellMar>
            <w:top w:w="0" w:type="dxa"/>
            <w:left w:w="108" w:type="dxa"/>
            <w:bottom w:w="0" w:type="dxa"/>
            <w:right w:w="108" w:type="dxa"/>
          </w:tblCellMar>
        </w:tblPrEx>
        <w:trPr>
          <w:trHeight w:val="525" w:hRule="atLeast"/>
        </w:trPr>
        <w:tc>
          <w:tcPr>
            <w:tcW w:w="1240"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A3CC41B">
            <w:pPr>
              <w:jc w:val="center"/>
              <w:rPr>
                <w:rFonts w:ascii="宋体" w:hAnsi="宋体" w:eastAsia="宋体" w:cs="宋体"/>
                <w:color w:val="000000"/>
                <w:sz w:val="20"/>
                <w:szCs w:val="20"/>
              </w:rPr>
            </w:pP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5213C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拨付合规性</w:t>
            </w:r>
          </w:p>
        </w:tc>
        <w:tc>
          <w:tcPr>
            <w:tcW w:w="1460"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3DA428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严格按照国库集中支付制度有关规定支付资金</w:t>
            </w:r>
          </w:p>
        </w:tc>
        <w:tc>
          <w:tcPr>
            <w:tcW w:w="1260"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69E534F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无</w:t>
            </w:r>
          </w:p>
        </w:tc>
      </w:tr>
      <w:tr w14:paraId="3067171E">
        <w:tblPrEx>
          <w:tblCellMar>
            <w:top w:w="0" w:type="dxa"/>
            <w:left w:w="108" w:type="dxa"/>
            <w:bottom w:w="0" w:type="dxa"/>
            <w:right w:w="108" w:type="dxa"/>
          </w:tblCellMar>
        </w:tblPrEx>
        <w:trPr>
          <w:trHeight w:val="330" w:hRule="atLeast"/>
        </w:trPr>
        <w:tc>
          <w:tcPr>
            <w:tcW w:w="1240"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0F5DEAF">
            <w:pPr>
              <w:jc w:val="center"/>
              <w:rPr>
                <w:rFonts w:ascii="宋体" w:hAnsi="宋体" w:eastAsia="宋体" w:cs="宋体"/>
                <w:color w:val="000000"/>
                <w:sz w:val="20"/>
                <w:szCs w:val="20"/>
              </w:rPr>
            </w:pP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C33F3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使用规范性</w:t>
            </w:r>
          </w:p>
        </w:tc>
        <w:tc>
          <w:tcPr>
            <w:tcW w:w="1460"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133CD1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严格按照下达预算的科目和项目执行</w:t>
            </w:r>
          </w:p>
        </w:tc>
        <w:tc>
          <w:tcPr>
            <w:tcW w:w="1260"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6076351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无</w:t>
            </w:r>
          </w:p>
        </w:tc>
      </w:tr>
      <w:tr w14:paraId="19E010D1">
        <w:tblPrEx>
          <w:tblCellMar>
            <w:top w:w="0" w:type="dxa"/>
            <w:left w:w="108" w:type="dxa"/>
            <w:bottom w:w="0" w:type="dxa"/>
            <w:right w:w="108" w:type="dxa"/>
          </w:tblCellMar>
        </w:tblPrEx>
        <w:trPr>
          <w:trHeight w:val="330" w:hRule="atLeast"/>
        </w:trPr>
        <w:tc>
          <w:tcPr>
            <w:tcW w:w="1240"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621DA08">
            <w:pPr>
              <w:jc w:val="center"/>
              <w:rPr>
                <w:rFonts w:ascii="宋体" w:hAnsi="宋体" w:eastAsia="宋体" w:cs="宋体"/>
                <w:color w:val="000000"/>
                <w:sz w:val="20"/>
                <w:szCs w:val="20"/>
              </w:rPr>
            </w:pP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A77D8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执行准确性</w:t>
            </w:r>
          </w:p>
        </w:tc>
        <w:tc>
          <w:tcPr>
            <w:tcW w:w="1460"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30B99A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按照上级下达和本级预算安排的金额执行</w:t>
            </w:r>
          </w:p>
        </w:tc>
        <w:tc>
          <w:tcPr>
            <w:tcW w:w="1260"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744B1AD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无</w:t>
            </w:r>
          </w:p>
        </w:tc>
      </w:tr>
      <w:tr w14:paraId="56701A77">
        <w:tblPrEx>
          <w:tblCellMar>
            <w:top w:w="0" w:type="dxa"/>
            <w:left w:w="108" w:type="dxa"/>
            <w:bottom w:w="0" w:type="dxa"/>
            <w:right w:w="108" w:type="dxa"/>
          </w:tblCellMar>
        </w:tblPrEx>
        <w:trPr>
          <w:trHeight w:val="1785" w:hRule="atLeast"/>
        </w:trPr>
        <w:tc>
          <w:tcPr>
            <w:tcW w:w="1240"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D2F620E">
            <w:pPr>
              <w:jc w:val="center"/>
              <w:rPr>
                <w:rFonts w:ascii="宋体" w:hAnsi="宋体" w:eastAsia="宋体" w:cs="宋体"/>
                <w:color w:val="000000"/>
                <w:sz w:val="20"/>
                <w:szCs w:val="20"/>
              </w:rPr>
            </w:pP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58552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预算绩效管理情况</w:t>
            </w:r>
          </w:p>
        </w:tc>
        <w:tc>
          <w:tcPr>
            <w:tcW w:w="1460"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0708EA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下达预算时同步下达绩效目标，并组织开展现场督察、重点绩效评价（监控）</w:t>
            </w:r>
          </w:p>
        </w:tc>
        <w:tc>
          <w:tcPr>
            <w:tcW w:w="1260"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3CD8490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无</w:t>
            </w:r>
          </w:p>
        </w:tc>
      </w:tr>
      <w:tr w14:paraId="52DB569C">
        <w:tblPrEx>
          <w:tblCellMar>
            <w:top w:w="0" w:type="dxa"/>
            <w:left w:w="108" w:type="dxa"/>
            <w:bottom w:w="0" w:type="dxa"/>
            <w:right w:w="108" w:type="dxa"/>
          </w:tblCellMar>
        </w:tblPrEx>
        <w:trPr>
          <w:trHeight w:val="1050" w:hRule="atLeast"/>
        </w:trPr>
        <w:tc>
          <w:tcPr>
            <w:tcW w:w="1240"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6BDF6E9">
            <w:pPr>
              <w:jc w:val="center"/>
              <w:rPr>
                <w:rFonts w:ascii="宋体" w:hAnsi="宋体" w:eastAsia="宋体" w:cs="宋体"/>
                <w:color w:val="000000"/>
                <w:sz w:val="20"/>
                <w:szCs w:val="20"/>
              </w:rPr>
            </w:pP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0DC8D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支出责任履行情况</w:t>
            </w:r>
          </w:p>
        </w:tc>
        <w:tc>
          <w:tcPr>
            <w:tcW w:w="1460"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DB2E092">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落实生态环境领域财政事权和支出责任，压实地方责任，引导地方加大生态环境保护投入力度，明确申报中央生态环境资金项目配套比例和金额。</w:t>
            </w:r>
          </w:p>
        </w:tc>
        <w:tc>
          <w:tcPr>
            <w:tcW w:w="1260"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47E2DF3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sz w:val="20"/>
                <w:szCs w:val="20"/>
              </w:rPr>
              <w:t>无</w:t>
            </w:r>
          </w:p>
        </w:tc>
      </w:tr>
      <w:tr w14:paraId="43C8D192">
        <w:tblPrEx>
          <w:tblCellMar>
            <w:top w:w="0" w:type="dxa"/>
            <w:left w:w="108" w:type="dxa"/>
            <w:bottom w:w="0" w:type="dxa"/>
            <w:right w:w="108" w:type="dxa"/>
          </w:tblCellMar>
        </w:tblPrEx>
        <w:trPr>
          <w:trHeight w:val="420" w:hRule="atLeast"/>
        </w:trPr>
        <w:tc>
          <w:tcPr>
            <w:tcW w:w="438"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92025B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总体目标完成情况</w:t>
            </w:r>
          </w:p>
        </w:tc>
        <w:tc>
          <w:tcPr>
            <w:tcW w:w="1840"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EA20A5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总体目标</w:t>
            </w:r>
          </w:p>
        </w:tc>
        <w:tc>
          <w:tcPr>
            <w:tcW w:w="2721" w:type="pct"/>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5EA0897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全年实际完成情况</w:t>
            </w:r>
          </w:p>
        </w:tc>
      </w:tr>
      <w:tr w14:paraId="68A2A66A">
        <w:tblPrEx>
          <w:tblCellMar>
            <w:top w:w="0" w:type="dxa"/>
            <w:left w:w="108" w:type="dxa"/>
            <w:bottom w:w="0" w:type="dxa"/>
            <w:right w:w="108" w:type="dxa"/>
          </w:tblCellMar>
        </w:tblPrEx>
        <w:trPr>
          <w:trHeight w:val="1185"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C568077">
            <w:pPr>
              <w:jc w:val="center"/>
              <w:rPr>
                <w:rFonts w:ascii="宋体" w:hAnsi="宋体" w:eastAsia="宋体" w:cs="宋体"/>
                <w:color w:val="000000"/>
                <w:sz w:val="20"/>
                <w:szCs w:val="20"/>
              </w:rPr>
            </w:pPr>
          </w:p>
        </w:tc>
        <w:tc>
          <w:tcPr>
            <w:tcW w:w="1840"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338DAED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2024年全省国控断面水质达到或好于Ⅲ类水体比例98.3%，无劣V类水体；县级及以上城市集中式饮用水水源水质达到或优于Ⅲ类的比例为100%。地下水环境质量考核目标达到国家下达目标要求。</w:t>
            </w:r>
          </w:p>
        </w:tc>
        <w:tc>
          <w:tcPr>
            <w:tcW w:w="2721" w:type="pct"/>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62AD90F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全省水环境质量总体保持优良。119个地表水国控断面达到或优于Ⅲ类水质断面比例占99.2%；23个主要河流出境断面全部达到Ⅲ类及以上水质类别；集中式饮用水源地水质优良，县级及以上集中式饮用水水源地水质达标率稳定保持100%；地下水管理质量考核达到国家目标要求。</w:t>
            </w:r>
          </w:p>
        </w:tc>
      </w:tr>
      <w:tr w14:paraId="67E80737">
        <w:tblPrEx>
          <w:tblCellMar>
            <w:top w:w="0" w:type="dxa"/>
            <w:left w:w="108" w:type="dxa"/>
            <w:bottom w:w="0" w:type="dxa"/>
            <w:right w:w="108" w:type="dxa"/>
          </w:tblCellMar>
        </w:tblPrEx>
        <w:trPr>
          <w:trHeight w:val="709" w:hRule="atLeast"/>
        </w:trPr>
        <w:tc>
          <w:tcPr>
            <w:tcW w:w="438" w:type="pct"/>
            <w:vMerge w:val="restart"/>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14:paraId="3486301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绩效指标</w:t>
            </w:r>
          </w:p>
        </w:tc>
        <w:tc>
          <w:tcPr>
            <w:tcW w:w="3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1D91A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一级指标</w:t>
            </w:r>
          </w:p>
        </w:tc>
        <w:tc>
          <w:tcPr>
            <w:tcW w:w="41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413B5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二级指标</w:t>
            </w: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0997F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三级指标</w:t>
            </w:r>
          </w:p>
        </w:tc>
        <w:tc>
          <w:tcPr>
            <w:tcW w:w="58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CE12A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指标值</w:t>
            </w:r>
          </w:p>
        </w:tc>
        <w:tc>
          <w:tcPr>
            <w:tcW w:w="966"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89A72F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全年实际完成值</w:t>
            </w:r>
          </w:p>
        </w:tc>
        <w:tc>
          <w:tcPr>
            <w:tcW w:w="1171"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C548B0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未完成原因和改进措施</w:t>
            </w:r>
          </w:p>
        </w:tc>
      </w:tr>
      <w:tr w14:paraId="630B3889">
        <w:tblPrEx>
          <w:tblCellMar>
            <w:top w:w="0" w:type="dxa"/>
            <w:left w:w="108" w:type="dxa"/>
            <w:bottom w:w="0" w:type="dxa"/>
            <w:right w:w="108" w:type="dxa"/>
          </w:tblCellMar>
        </w:tblPrEx>
        <w:trPr>
          <w:trHeight w:val="330"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14:paraId="5C0118CA">
            <w:pPr>
              <w:jc w:val="center"/>
              <w:rPr>
                <w:rFonts w:ascii="宋体" w:hAnsi="宋体" w:eastAsia="宋体" w:cs="宋体"/>
                <w:color w:val="000000"/>
                <w:sz w:val="20"/>
                <w:szCs w:val="20"/>
              </w:rPr>
            </w:pP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D8F404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产出指标</w:t>
            </w:r>
          </w:p>
        </w:tc>
        <w:tc>
          <w:tcPr>
            <w:tcW w:w="411"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3C34F4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数量指标</w:t>
            </w: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A7F1E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集中式饮用水源地整治数量(个)</w:t>
            </w:r>
          </w:p>
        </w:tc>
        <w:tc>
          <w:tcPr>
            <w:tcW w:w="58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2D2E5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≥16</w:t>
            </w:r>
          </w:p>
        </w:tc>
        <w:tc>
          <w:tcPr>
            <w:tcW w:w="966"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0AEDB4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18</w:t>
            </w:r>
          </w:p>
        </w:tc>
        <w:tc>
          <w:tcPr>
            <w:tcW w:w="1171"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9941DFA">
            <w:pPr>
              <w:jc w:val="center"/>
              <w:rPr>
                <w:rFonts w:ascii="宋体" w:hAnsi="宋体" w:eastAsia="宋体" w:cs="宋体"/>
                <w:color w:val="000000"/>
                <w:sz w:val="20"/>
                <w:szCs w:val="20"/>
              </w:rPr>
            </w:pPr>
          </w:p>
        </w:tc>
      </w:tr>
      <w:tr w14:paraId="6538E197">
        <w:tblPrEx>
          <w:tblCellMar>
            <w:top w:w="0" w:type="dxa"/>
            <w:left w:w="108" w:type="dxa"/>
            <w:bottom w:w="0" w:type="dxa"/>
            <w:right w:w="108" w:type="dxa"/>
          </w:tblCellMar>
        </w:tblPrEx>
        <w:trPr>
          <w:trHeight w:val="675"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14:paraId="162DE673">
            <w:pPr>
              <w:jc w:val="center"/>
              <w:rPr>
                <w:rFonts w:ascii="宋体" w:hAnsi="宋体" w:eastAsia="宋体" w:cs="宋体"/>
                <w:color w:val="000000"/>
                <w:sz w:val="20"/>
                <w:szCs w:val="20"/>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05A1280">
            <w:pPr>
              <w:jc w:val="center"/>
              <w:rPr>
                <w:rFonts w:ascii="宋体" w:hAnsi="宋体" w:eastAsia="宋体" w:cs="宋体"/>
                <w:color w:val="000000"/>
                <w:sz w:val="20"/>
                <w:szCs w:val="20"/>
              </w:rPr>
            </w:pPr>
          </w:p>
        </w:tc>
        <w:tc>
          <w:tcPr>
            <w:tcW w:w="41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AE91857">
            <w:pPr>
              <w:jc w:val="center"/>
              <w:rPr>
                <w:rFonts w:ascii="宋体" w:hAnsi="宋体" w:eastAsia="宋体" w:cs="宋体"/>
                <w:color w:val="000000"/>
                <w:sz w:val="20"/>
                <w:szCs w:val="20"/>
              </w:rPr>
            </w:pP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E43ED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新增污染负荷COD削减量(吨/年)</w:t>
            </w:r>
          </w:p>
        </w:tc>
        <w:tc>
          <w:tcPr>
            <w:tcW w:w="58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996F4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993.8</w:t>
            </w:r>
          </w:p>
        </w:tc>
        <w:tc>
          <w:tcPr>
            <w:tcW w:w="966"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190ACC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新增COD削减量390.06吨/年</w:t>
            </w:r>
          </w:p>
        </w:tc>
        <w:tc>
          <w:tcPr>
            <w:tcW w:w="1171"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FD61177">
            <w:pPr>
              <w:jc w:val="center"/>
              <w:rPr>
                <w:rFonts w:ascii="宋体" w:hAnsi="宋体" w:eastAsia="宋体" w:cs="宋体"/>
                <w:color w:val="000000"/>
                <w:sz w:val="20"/>
                <w:szCs w:val="20"/>
              </w:rPr>
            </w:pPr>
          </w:p>
        </w:tc>
      </w:tr>
      <w:tr w14:paraId="24292571">
        <w:tblPrEx>
          <w:tblCellMar>
            <w:top w:w="0" w:type="dxa"/>
            <w:left w:w="108" w:type="dxa"/>
            <w:bottom w:w="0" w:type="dxa"/>
            <w:right w:w="108" w:type="dxa"/>
          </w:tblCellMar>
        </w:tblPrEx>
        <w:trPr>
          <w:trHeight w:val="795"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14:paraId="78CA36A8">
            <w:pPr>
              <w:jc w:val="center"/>
              <w:rPr>
                <w:rFonts w:ascii="宋体" w:hAnsi="宋体" w:eastAsia="宋体" w:cs="宋体"/>
                <w:color w:val="000000"/>
                <w:sz w:val="20"/>
                <w:szCs w:val="20"/>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DAA476B">
            <w:pPr>
              <w:jc w:val="center"/>
              <w:rPr>
                <w:rFonts w:ascii="宋体" w:hAnsi="宋体" w:eastAsia="宋体" w:cs="宋体"/>
                <w:color w:val="000000"/>
                <w:sz w:val="20"/>
                <w:szCs w:val="20"/>
              </w:rPr>
            </w:pPr>
          </w:p>
        </w:tc>
        <w:tc>
          <w:tcPr>
            <w:tcW w:w="41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C4CD520">
            <w:pPr>
              <w:jc w:val="center"/>
              <w:rPr>
                <w:rFonts w:ascii="宋体" w:hAnsi="宋体" w:eastAsia="宋体" w:cs="宋体"/>
                <w:color w:val="000000"/>
                <w:sz w:val="20"/>
                <w:szCs w:val="20"/>
              </w:rPr>
            </w:pP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527C5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新增污染负荷氨氮削减量(吨/年)</w:t>
            </w:r>
          </w:p>
        </w:tc>
        <w:tc>
          <w:tcPr>
            <w:tcW w:w="58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6A01C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109.1</w:t>
            </w:r>
          </w:p>
        </w:tc>
        <w:tc>
          <w:tcPr>
            <w:tcW w:w="966"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0034D8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新增氨氮削减量77.04吨/年</w:t>
            </w:r>
          </w:p>
        </w:tc>
        <w:tc>
          <w:tcPr>
            <w:tcW w:w="1171"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7FF802D">
            <w:pPr>
              <w:jc w:val="center"/>
              <w:rPr>
                <w:rFonts w:ascii="宋体" w:hAnsi="宋体" w:eastAsia="宋体" w:cs="宋体"/>
                <w:color w:val="000000"/>
                <w:sz w:val="20"/>
                <w:szCs w:val="20"/>
              </w:rPr>
            </w:pPr>
          </w:p>
        </w:tc>
      </w:tr>
      <w:tr w14:paraId="309A1D0B">
        <w:tblPrEx>
          <w:tblCellMar>
            <w:top w:w="0" w:type="dxa"/>
            <w:left w:w="108" w:type="dxa"/>
            <w:bottom w:w="0" w:type="dxa"/>
            <w:right w:w="108" w:type="dxa"/>
          </w:tblCellMar>
        </w:tblPrEx>
        <w:trPr>
          <w:trHeight w:val="825"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14:paraId="52684B8E">
            <w:pPr>
              <w:jc w:val="center"/>
              <w:rPr>
                <w:rFonts w:ascii="宋体" w:hAnsi="宋体" w:eastAsia="宋体" w:cs="宋体"/>
                <w:color w:val="000000"/>
                <w:sz w:val="20"/>
                <w:szCs w:val="20"/>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81C11DD">
            <w:pPr>
              <w:jc w:val="center"/>
              <w:rPr>
                <w:rFonts w:ascii="宋体" w:hAnsi="宋体" w:eastAsia="宋体" w:cs="宋体"/>
                <w:color w:val="000000"/>
                <w:sz w:val="20"/>
                <w:szCs w:val="20"/>
              </w:rPr>
            </w:pPr>
          </w:p>
        </w:tc>
        <w:tc>
          <w:tcPr>
            <w:tcW w:w="41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95F7B43">
            <w:pPr>
              <w:jc w:val="center"/>
              <w:rPr>
                <w:rFonts w:ascii="宋体" w:hAnsi="宋体" w:eastAsia="宋体" w:cs="宋体"/>
                <w:color w:val="000000"/>
                <w:sz w:val="20"/>
                <w:szCs w:val="20"/>
              </w:rPr>
            </w:pP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D65AF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新增污染负荷总磷削减数量(吨/年)</w:t>
            </w:r>
          </w:p>
        </w:tc>
        <w:tc>
          <w:tcPr>
            <w:tcW w:w="58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D589E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12.7</w:t>
            </w:r>
          </w:p>
        </w:tc>
        <w:tc>
          <w:tcPr>
            <w:tcW w:w="966"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A24F56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新增总磷削减量7.44吨/年</w:t>
            </w:r>
          </w:p>
        </w:tc>
        <w:tc>
          <w:tcPr>
            <w:tcW w:w="1171"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877059A">
            <w:pPr>
              <w:jc w:val="center"/>
              <w:rPr>
                <w:rFonts w:ascii="宋体" w:hAnsi="宋体" w:eastAsia="宋体" w:cs="宋体"/>
                <w:color w:val="000000"/>
                <w:sz w:val="20"/>
                <w:szCs w:val="20"/>
              </w:rPr>
            </w:pPr>
          </w:p>
        </w:tc>
      </w:tr>
      <w:tr w14:paraId="56418C16">
        <w:tblPrEx>
          <w:tblCellMar>
            <w:top w:w="0" w:type="dxa"/>
            <w:left w:w="108" w:type="dxa"/>
            <w:bottom w:w="0" w:type="dxa"/>
            <w:right w:w="108" w:type="dxa"/>
          </w:tblCellMar>
        </w:tblPrEx>
        <w:trPr>
          <w:trHeight w:val="660"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14:paraId="4676D439">
            <w:pPr>
              <w:jc w:val="center"/>
              <w:rPr>
                <w:rFonts w:ascii="宋体" w:hAnsi="宋体" w:eastAsia="宋体" w:cs="宋体"/>
                <w:color w:val="000000"/>
                <w:sz w:val="20"/>
                <w:szCs w:val="20"/>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D46E440">
            <w:pPr>
              <w:jc w:val="center"/>
              <w:rPr>
                <w:rFonts w:ascii="宋体" w:hAnsi="宋体" w:eastAsia="宋体" w:cs="宋体"/>
                <w:color w:val="000000"/>
                <w:sz w:val="20"/>
                <w:szCs w:val="20"/>
              </w:rPr>
            </w:pPr>
          </w:p>
        </w:tc>
        <w:tc>
          <w:tcPr>
            <w:tcW w:w="41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5E69FE7">
            <w:pPr>
              <w:jc w:val="center"/>
              <w:rPr>
                <w:rFonts w:ascii="宋体" w:hAnsi="宋体" w:eastAsia="宋体" w:cs="宋体"/>
                <w:color w:val="000000"/>
                <w:sz w:val="20"/>
                <w:szCs w:val="20"/>
              </w:rPr>
            </w:pP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A2E12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重要生态空间内新增污水处理能力(吨/天)</w:t>
            </w:r>
          </w:p>
        </w:tc>
        <w:tc>
          <w:tcPr>
            <w:tcW w:w="58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02EC85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≥680</w:t>
            </w:r>
          </w:p>
        </w:tc>
        <w:tc>
          <w:tcPr>
            <w:tcW w:w="966"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F69902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重要生态空间内新增污水处理能力421.62吨/天</w:t>
            </w:r>
          </w:p>
        </w:tc>
        <w:tc>
          <w:tcPr>
            <w:tcW w:w="1171"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2464B78">
            <w:pPr>
              <w:jc w:val="center"/>
              <w:rPr>
                <w:rFonts w:ascii="宋体" w:hAnsi="宋体" w:eastAsia="宋体" w:cs="宋体"/>
                <w:color w:val="000000"/>
                <w:sz w:val="20"/>
                <w:szCs w:val="20"/>
              </w:rPr>
            </w:pPr>
          </w:p>
        </w:tc>
      </w:tr>
      <w:tr w14:paraId="724E35B6">
        <w:tblPrEx>
          <w:tblCellMar>
            <w:top w:w="0" w:type="dxa"/>
            <w:left w:w="108" w:type="dxa"/>
            <w:bottom w:w="0" w:type="dxa"/>
            <w:right w:w="108" w:type="dxa"/>
          </w:tblCellMar>
        </w:tblPrEx>
        <w:trPr>
          <w:trHeight w:val="585"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14:paraId="562CAE01">
            <w:pPr>
              <w:jc w:val="center"/>
              <w:rPr>
                <w:rFonts w:ascii="宋体" w:hAnsi="宋体" w:eastAsia="宋体" w:cs="宋体"/>
                <w:color w:val="000000"/>
                <w:sz w:val="20"/>
                <w:szCs w:val="20"/>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5C65A02">
            <w:pPr>
              <w:jc w:val="center"/>
              <w:rPr>
                <w:rFonts w:ascii="宋体" w:hAnsi="宋体" w:eastAsia="宋体" w:cs="宋体"/>
                <w:color w:val="000000"/>
                <w:sz w:val="20"/>
                <w:szCs w:val="20"/>
              </w:rPr>
            </w:pPr>
          </w:p>
        </w:tc>
        <w:tc>
          <w:tcPr>
            <w:tcW w:w="41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66174E5">
            <w:pPr>
              <w:jc w:val="center"/>
              <w:rPr>
                <w:rFonts w:ascii="宋体" w:hAnsi="宋体" w:eastAsia="宋体" w:cs="宋体"/>
                <w:color w:val="000000"/>
                <w:sz w:val="20"/>
                <w:szCs w:val="20"/>
              </w:rPr>
            </w:pP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E4F8E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新增开展地下水污染风险管控或修复项目数量(个）</w:t>
            </w:r>
          </w:p>
        </w:tc>
        <w:tc>
          <w:tcPr>
            <w:tcW w:w="58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E7FBC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≥7</w:t>
            </w:r>
          </w:p>
        </w:tc>
        <w:tc>
          <w:tcPr>
            <w:tcW w:w="966"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309006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11</w:t>
            </w:r>
          </w:p>
        </w:tc>
        <w:tc>
          <w:tcPr>
            <w:tcW w:w="1171"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D6497B3">
            <w:pPr>
              <w:jc w:val="center"/>
              <w:rPr>
                <w:rFonts w:ascii="宋体" w:hAnsi="宋体" w:eastAsia="宋体" w:cs="宋体"/>
                <w:color w:val="000000"/>
                <w:sz w:val="20"/>
                <w:szCs w:val="20"/>
              </w:rPr>
            </w:pPr>
          </w:p>
        </w:tc>
      </w:tr>
      <w:tr w14:paraId="6C6167B9">
        <w:tblPrEx>
          <w:tblCellMar>
            <w:top w:w="0" w:type="dxa"/>
            <w:left w:w="108" w:type="dxa"/>
            <w:bottom w:w="0" w:type="dxa"/>
            <w:right w:w="108" w:type="dxa"/>
          </w:tblCellMar>
        </w:tblPrEx>
        <w:trPr>
          <w:trHeight w:val="1035"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14:paraId="4C8DF22A">
            <w:pPr>
              <w:jc w:val="center"/>
              <w:rPr>
                <w:rFonts w:ascii="宋体" w:hAnsi="宋体" w:eastAsia="宋体" w:cs="宋体"/>
                <w:color w:val="000000"/>
                <w:sz w:val="20"/>
                <w:szCs w:val="20"/>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B9ABB0">
            <w:pPr>
              <w:jc w:val="center"/>
              <w:rPr>
                <w:rFonts w:ascii="宋体" w:hAnsi="宋体" w:eastAsia="宋体" w:cs="宋体"/>
                <w:color w:val="000000"/>
                <w:sz w:val="20"/>
                <w:szCs w:val="20"/>
              </w:rPr>
            </w:pPr>
          </w:p>
        </w:tc>
        <w:tc>
          <w:tcPr>
            <w:tcW w:w="41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4C456C8">
            <w:pPr>
              <w:jc w:val="center"/>
              <w:rPr>
                <w:rFonts w:ascii="宋体" w:hAnsi="宋体" w:eastAsia="宋体" w:cs="宋体"/>
                <w:color w:val="000000"/>
                <w:sz w:val="20"/>
                <w:szCs w:val="20"/>
              </w:rPr>
            </w:pP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1BCD7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新增湿地恢复面积(平方公里)</w:t>
            </w:r>
          </w:p>
        </w:tc>
        <w:tc>
          <w:tcPr>
            <w:tcW w:w="58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6CDFF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≥0.067</w:t>
            </w:r>
          </w:p>
        </w:tc>
        <w:tc>
          <w:tcPr>
            <w:tcW w:w="966"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ABA9B9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实际完成0.07862平方公里</w:t>
            </w:r>
          </w:p>
        </w:tc>
        <w:tc>
          <w:tcPr>
            <w:tcW w:w="1171"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A56758D">
            <w:pPr>
              <w:jc w:val="center"/>
              <w:rPr>
                <w:rFonts w:ascii="宋体" w:hAnsi="宋体" w:eastAsia="宋体" w:cs="宋体"/>
                <w:color w:val="000000"/>
                <w:sz w:val="20"/>
                <w:szCs w:val="20"/>
              </w:rPr>
            </w:pPr>
          </w:p>
        </w:tc>
      </w:tr>
      <w:tr w14:paraId="72CDC387">
        <w:tblPrEx>
          <w:tblCellMar>
            <w:top w:w="0" w:type="dxa"/>
            <w:left w:w="108" w:type="dxa"/>
            <w:bottom w:w="0" w:type="dxa"/>
            <w:right w:w="108" w:type="dxa"/>
          </w:tblCellMar>
        </w:tblPrEx>
        <w:trPr>
          <w:trHeight w:val="1240"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14:paraId="0CF60A9A">
            <w:pPr>
              <w:jc w:val="center"/>
              <w:rPr>
                <w:rFonts w:ascii="宋体" w:hAnsi="宋体" w:eastAsia="宋体" w:cs="宋体"/>
                <w:color w:val="000000"/>
                <w:sz w:val="20"/>
                <w:szCs w:val="20"/>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E8531F1">
            <w:pPr>
              <w:jc w:val="center"/>
              <w:rPr>
                <w:rFonts w:ascii="宋体" w:hAnsi="宋体" w:eastAsia="宋体" w:cs="宋体"/>
                <w:color w:val="000000"/>
                <w:sz w:val="20"/>
                <w:szCs w:val="20"/>
              </w:rPr>
            </w:pPr>
          </w:p>
        </w:tc>
        <w:tc>
          <w:tcPr>
            <w:tcW w:w="41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DFC0B35">
            <w:pPr>
              <w:jc w:val="center"/>
              <w:rPr>
                <w:rFonts w:ascii="宋体" w:hAnsi="宋体" w:eastAsia="宋体" w:cs="宋体"/>
                <w:color w:val="000000"/>
                <w:sz w:val="20"/>
                <w:szCs w:val="20"/>
              </w:rPr>
            </w:pP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AAFDF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新增河湖生态缓冲带修复面积(平方公里)</w:t>
            </w:r>
          </w:p>
        </w:tc>
        <w:tc>
          <w:tcPr>
            <w:tcW w:w="58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E73EB6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≥0.09</w:t>
            </w:r>
          </w:p>
        </w:tc>
        <w:tc>
          <w:tcPr>
            <w:tcW w:w="966"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5057F2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实际完成0.0857平方公里</w:t>
            </w:r>
          </w:p>
        </w:tc>
        <w:tc>
          <w:tcPr>
            <w:tcW w:w="1171"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A38E536">
            <w:pPr>
              <w:jc w:val="center"/>
              <w:rPr>
                <w:rFonts w:ascii="宋体" w:hAnsi="宋体" w:eastAsia="宋体" w:cs="宋体"/>
                <w:color w:val="000000"/>
                <w:sz w:val="20"/>
                <w:szCs w:val="20"/>
              </w:rPr>
            </w:pPr>
          </w:p>
        </w:tc>
      </w:tr>
      <w:tr w14:paraId="17E8408A">
        <w:tblPrEx>
          <w:tblCellMar>
            <w:top w:w="0" w:type="dxa"/>
            <w:left w:w="108" w:type="dxa"/>
            <w:bottom w:w="0" w:type="dxa"/>
            <w:right w:w="108" w:type="dxa"/>
          </w:tblCellMar>
        </w:tblPrEx>
        <w:trPr>
          <w:trHeight w:val="975"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14:paraId="1E516DFD">
            <w:pPr>
              <w:jc w:val="center"/>
              <w:rPr>
                <w:rFonts w:ascii="宋体" w:hAnsi="宋体" w:eastAsia="宋体" w:cs="宋体"/>
                <w:color w:val="000000"/>
                <w:sz w:val="20"/>
                <w:szCs w:val="20"/>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0F96292">
            <w:pPr>
              <w:jc w:val="center"/>
              <w:rPr>
                <w:rFonts w:ascii="宋体" w:hAnsi="宋体" w:eastAsia="宋体" w:cs="宋体"/>
                <w:color w:val="000000"/>
                <w:sz w:val="20"/>
                <w:szCs w:val="20"/>
              </w:rPr>
            </w:pPr>
          </w:p>
        </w:tc>
        <w:tc>
          <w:tcPr>
            <w:tcW w:w="41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C15DA3F">
            <w:pPr>
              <w:jc w:val="center"/>
              <w:rPr>
                <w:rFonts w:ascii="宋体" w:hAnsi="宋体" w:eastAsia="宋体" w:cs="宋体"/>
                <w:color w:val="000000"/>
                <w:sz w:val="20"/>
                <w:szCs w:val="20"/>
              </w:rPr>
            </w:pP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ED254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跨省横向生态保护补偿机制数量（个）</w:t>
            </w:r>
          </w:p>
        </w:tc>
        <w:tc>
          <w:tcPr>
            <w:tcW w:w="58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4A11C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w:t>
            </w:r>
          </w:p>
        </w:tc>
        <w:tc>
          <w:tcPr>
            <w:tcW w:w="966"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571D20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2（云贵川三省签署《第二轮赤水河流域横向生态补偿协议》，与重庆市签署《乌江流域渝黔横向生态保护补偿协议》）</w:t>
            </w:r>
          </w:p>
        </w:tc>
        <w:tc>
          <w:tcPr>
            <w:tcW w:w="1171"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A8AD280">
            <w:pPr>
              <w:jc w:val="center"/>
              <w:rPr>
                <w:rFonts w:ascii="宋体" w:hAnsi="宋体" w:eastAsia="宋体" w:cs="宋体"/>
                <w:color w:val="000000"/>
                <w:sz w:val="20"/>
                <w:szCs w:val="20"/>
              </w:rPr>
            </w:pPr>
          </w:p>
        </w:tc>
      </w:tr>
      <w:tr w14:paraId="237ED865">
        <w:tblPrEx>
          <w:tblCellMar>
            <w:top w:w="0" w:type="dxa"/>
            <w:left w:w="108" w:type="dxa"/>
            <w:bottom w:w="0" w:type="dxa"/>
            <w:right w:w="108" w:type="dxa"/>
          </w:tblCellMar>
        </w:tblPrEx>
        <w:trPr>
          <w:trHeight w:val="540"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14:paraId="21E9BD82">
            <w:pPr>
              <w:jc w:val="center"/>
              <w:rPr>
                <w:rFonts w:ascii="宋体" w:hAnsi="宋体" w:eastAsia="宋体" w:cs="宋体"/>
                <w:color w:val="000000"/>
                <w:sz w:val="20"/>
                <w:szCs w:val="20"/>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90592B8">
            <w:pPr>
              <w:jc w:val="center"/>
              <w:rPr>
                <w:rFonts w:ascii="宋体" w:hAnsi="宋体" w:eastAsia="宋体" w:cs="宋体"/>
                <w:color w:val="000000"/>
                <w:sz w:val="20"/>
                <w:szCs w:val="20"/>
              </w:rPr>
            </w:pPr>
          </w:p>
        </w:tc>
        <w:tc>
          <w:tcPr>
            <w:tcW w:w="41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26D98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质量指标</w:t>
            </w: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F684B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项目验收合格率</w:t>
            </w:r>
          </w:p>
        </w:tc>
        <w:tc>
          <w:tcPr>
            <w:tcW w:w="58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F4814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100%</w:t>
            </w:r>
          </w:p>
        </w:tc>
        <w:tc>
          <w:tcPr>
            <w:tcW w:w="966"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2F679A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100%</w:t>
            </w:r>
          </w:p>
        </w:tc>
        <w:tc>
          <w:tcPr>
            <w:tcW w:w="1171"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6717781">
            <w:pPr>
              <w:jc w:val="center"/>
              <w:rPr>
                <w:rFonts w:ascii="宋体" w:hAnsi="宋体" w:eastAsia="宋体" w:cs="宋体"/>
                <w:color w:val="000000"/>
                <w:sz w:val="20"/>
                <w:szCs w:val="20"/>
              </w:rPr>
            </w:pPr>
          </w:p>
        </w:tc>
      </w:tr>
      <w:tr w14:paraId="28A44779">
        <w:tblPrEx>
          <w:tblCellMar>
            <w:top w:w="0" w:type="dxa"/>
            <w:left w:w="108" w:type="dxa"/>
            <w:bottom w:w="0" w:type="dxa"/>
            <w:right w:w="108" w:type="dxa"/>
          </w:tblCellMar>
        </w:tblPrEx>
        <w:trPr>
          <w:trHeight w:val="2385"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14:paraId="0E3B9EC5">
            <w:pPr>
              <w:jc w:val="center"/>
              <w:rPr>
                <w:rFonts w:ascii="宋体" w:hAnsi="宋体" w:eastAsia="宋体" w:cs="宋体"/>
                <w:color w:val="000000"/>
                <w:sz w:val="20"/>
                <w:szCs w:val="20"/>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BC86632">
            <w:pPr>
              <w:jc w:val="center"/>
              <w:rPr>
                <w:rFonts w:ascii="宋体" w:hAnsi="宋体" w:eastAsia="宋体" w:cs="宋体"/>
                <w:color w:val="000000"/>
                <w:sz w:val="20"/>
                <w:szCs w:val="20"/>
              </w:rPr>
            </w:pPr>
          </w:p>
        </w:tc>
        <w:tc>
          <w:tcPr>
            <w:tcW w:w="411"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95AA72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时效指标</w:t>
            </w: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132F4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开工率</w:t>
            </w:r>
          </w:p>
        </w:tc>
        <w:tc>
          <w:tcPr>
            <w:tcW w:w="58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8E025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100%</w:t>
            </w:r>
          </w:p>
        </w:tc>
        <w:tc>
          <w:tcPr>
            <w:tcW w:w="966"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4C4117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54.35%</w:t>
            </w:r>
          </w:p>
        </w:tc>
        <w:tc>
          <w:tcPr>
            <w:tcW w:w="1171"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1FC71EB">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未完成原因：一是提级论证通过率低，影响开工；二是部分项目前期工作耗时长；三是部分项目前期工作不充分，需要调整建设内容，延迟开工时间。改进措施：切实提高项目提级论证通过率，督促地方加快项目推进力度，及时跟踪调度。定期调度、通报项目进展情况，及时解决存在的问题和困难。</w:t>
            </w:r>
          </w:p>
        </w:tc>
      </w:tr>
      <w:tr w14:paraId="159EA177">
        <w:tblPrEx>
          <w:tblCellMar>
            <w:top w:w="0" w:type="dxa"/>
            <w:left w:w="108" w:type="dxa"/>
            <w:bottom w:w="0" w:type="dxa"/>
            <w:right w:w="108" w:type="dxa"/>
          </w:tblCellMar>
        </w:tblPrEx>
        <w:trPr>
          <w:trHeight w:val="675"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14:paraId="4254D342">
            <w:pPr>
              <w:jc w:val="center"/>
              <w:rPr>
                <w:rFonts w:ascii="宋体" w:hAnsi="宋体" w:eastAsia="宋体" w:cs="宋体"/>
                <w:color w:val="000000"/>
                <w:sz w:val="20"/>
                <w:szCs w:val="20"/>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3D2BB3A">
            <w:pPr>
              <w:jc w:val="center"/>
              <w:rPr>
                <w:rFonts w:ascii="宋体" w:hAnsi="宋体" w:eastAsia="宋体" w:cs="宋体"/>
                <w:color w:val="000000"/>
                <w:sz w:val="20"/>
                <w:szCs w:val="20"/>
              </w:rPr>
            </w:pPr>
          </w:p>
        </w:tc>
        <w:tc>
          <w:tcPr>
            <w:tcW w:w="41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A7E398F">
            <w:pPr>
              <w:jc w:val="center"/>
              <w:rPr>
                <w:rFonts w:ascii="宋体" w:hAnsi="宋体" w:eastAsia="宋体" w:cs="宋体"/>
                <w:color w:val="000000"/>
                <w:sz w:val="20"/>
                <w:szCs w:val="20"/>
              </w:rPr>
            </w:pP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F37AC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完工率</w:t>
            </w:r>
          </w:p>
        </w:tc>
        <w:tc>
          <w:tcPr>
            <w:tcW w:w="58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41A20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≥25%</w:t>
            </w:r>
          </w:p>
        </w:tc>
        <w:tc>
          <w:tcPr>
            <w:tcW w:w="966"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27D576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4.35%</w:t>
            </w:r>
          </w:p>
        </w:tc>
        <w:tc>
          <w:tcPr>
            <w:tcW w:w="1171"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AEA2E33">
            <w:pPr>
              <w:jc w:val="center"/>
              <w:rPr>
                <w:rFonts w:ascii="宋体" w:hAnsi="宋体" w:eastAsia="宋体" w:cs="宋体"/>
                <w:color w:val="000000"/>
                <w:sz w:val="20"/>
                <w:szCs w:val="20"/>
              </w:rPr>
            </w:pPr>
          </w:p>
        </w:tc>
      </w:tr>
      <w:tr w14:paraId="00B62D29">
        <w:tblPrEx>
          <w:tblCellMar>
            <w:top w:w="0" w:type="dxa"/>
            <w:left w:w="108" w:type="dxa"/>
            <w:bottom w:w="0" w:type="dxa"/>
            <w:right w:w="108" w:type="dxa"/>
          </w:tblCellMar>
        </w:tblPrEx>
        <w:trPr>
          <w:trHeight w:val="1380"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14:paraId="38219009">
            <w:pPr>
              <w:jc w:val="center"/>
              <w:rPr>
                <w:rFonts w:ascii="宋体" w:hAnsi="宋体" w:eastAsia="宋体" w:cs="宋体"/>
                <w:color w:val="000000"/>
                <w:sz w:val="20"/>
                <w:szCs w:val="20"/>
              </w:rPr>
            </w:pP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891C7A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效益指标</w:t>
            </w:r>
          </w:p>
        </w:tc>
        <w:tc>
          <w:tcPr>
            <w:tcW w:w="411"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A08DA5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生态效益指标</w:t>
            </w: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E139C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地表水水质优良(达到或优于III类)水体比例</w:t>
            </w:r>
          </w:p>
        </w:tc>
        <w:tc>
          <w:tcPr>
            <w:tcW w:w="58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318F8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达到国家下达目标要求</w:t>
            </w:r>
          </w:p>
        </w:tc>
        <w:tc>
          <w:tcPr>
            <w:tcW w:w="966"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C8067C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2024年全省水环境质量总体保持优良，119个地表水国控断面达到或优于Ⅲ类水质断面比例占99.2%，23个主要河流出境断面全部达到Ⅲ类及以上水质类别。</w:t>
            </w:r>
          </w:p>
        </w:tc>
        <w:tc>
          <w:tcPr>
            <w:tcW w:w="1171"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171586A">
            <w:pPr>
              <w:jc w:val="center"/>
              <w:rPr>
                <w:rFonts w:ascii="宋体" w:hAnsi="宋体" w:eastAsia="宋体" w:cs="宋体"/>
                <w:color w:val="000000"/>
                <w:sz w:val="20"/>
                <w:szCs w:val="20"/>
              </w:rPr>
            </w:pPr>
          </w:p>
        </w:tc>
      </w:tr>
      <w:tr w14:paraId="46C6A809">
        <w:tblPrEx>
          <w:tblCellMar>
            <w:top w:w="0" w:type="dxa"/>
            <w:left w:w="108" w:type="dxa"/>
            <w:bottom w:w="0" w:type="dxa"/>
            <w:right w:w="108" w:type="dxa"/>
          </w:tblCellMar>
        </w:tblPrEx>
        <w:trPr>
          <w:trHeight w:val="510"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14:paraId="05612AAB">
            <w:pPr>
              <w:jc w:val="center"/>
              <w:rPr>
                <w:rFonts w:ascii="宋体" w:hAnsi="宋体" w:eastAsia="宋体" w:cs="宋体"/>
                <w:color w:val="000000"/>
                <w:sz w:val="20"/>
                <w:szCs w:val="20"/>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D53A049">
            <w:pPr>
              <w:jc w:val="center"/>
              <w:rPr>
                <w:rFonts w:ascii="宋体" w:hAnsi="宋体" w:eastAsia="宋体" w:cs="宋体"/>
                <w:color w:val="000000"/>
                <w:sz w:val="20"/>
                <w:szCs w:val="20"/>
              </w:rPr>
            </w:pPr>
          </w:p>
        </w:tc>
        <w:tc>
          <w:tcPr>
            <w:tcW w:w="41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DB69C4B">
            <w:pPr>
              <w:jc w:val="center"/>
              <w:rPr>
                <w:rFonts w:ascii="宋体" w:hAnsi="宋体" w:eastAsia="宋体" w:cs="宋体"/>
                <w:color w:val="000000"/>
                <w:sz w:val="20"/>
                <w:szCs w:val="20"/>
              </w:rPr>
            </w:pP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4DBEF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地表水水质劣V类水体比例</w:t>
            </w:r>
          </w:p>
        </w:tc>
        <w:tc>
          <w:tcPr>
            <w:tcW w:w="58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12A83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达到国家下达目标要求</w:t>
            </w:r>
          </w:p>
        </w:tc>
        <w:tc>
          <w:tcPr>
            <w:tcW w:w="966"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4200EF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无劣V类水体</w:t>
            </w:r>
          </w:p>
        </w:tc>
        <w:tc>
          <w:tcPr>
            <w:tcW w:w="1171"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60D2877">
            <w:pPr>
              <w:jc w:val="center"/>
              <w:rPr>
                <w:rFonts w:ascii="宋体" w:hAnsi="宋体" w:eastAsia="宋体" w:cs="宋体"/>
                <w:color w:val="000000"/>
                <w:sz w:val="20"/>
                <w:szCs w:val="20"/>
              </w:rPr>
            </w:pPr>
          </w:p>
        </w:tc>
      </w:tr>
      <w:tr w14:paraId="518CA2BC">
        <w:tblPrEx>
          <w:tblCellMar>
            <w:top w:w="0" w:type="dxa"/>
            <w:left w:w="108" w:type="dxa"/>
            <w:bottom w:w="0" w:type="dxa"/>
            <w:right w:w="108" w:type="dxa"/>
          </w:tblCellMar>
        </w:tblPrEx>
        <w:trPr>
          <w:trHeight w:val="735"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14:paraId="73558907">
            <w:pPr>
              <w:jc w:val="center"/>
              <w:rPr>
                <w:rFonts w:ascii="宋体" w:hAnsi="宋体" w:eastAsia="宋体" w:cs="宋体"/>
                <w:color w:val="000000"/>
                <w:sz w:val="20"/>
                <w:szCs w:val="20"/>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57503E4">
            <w:pPr>
              <w:jc w:val="center"/>
              <w:rPr>
                <w:rFonts w:ascii="宋体" w:hAnsi="宋体" w:eastAsia="宋体" w:cs="宋体"/>
                <w:color w:val="000000"/>
                <w:sz w:val="20"/>
                <w:szCs w:val="20"/>
              </w:rPr>
            </w:pPr>
          </w:p>
        </w:tc>
        <w:tc>
          <w:tcPr>
            <w:tcW w:w="41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41150FB">
            <w:pPr>
              <w:jc w:val="center"/>
              <w:rPr>
                <w:rFonts w:ascii="宋体" w:hAnsi="宋体" w:eastAsia="宋体" w:cs="宋体"/>
                <w:color w:val="000000"/>
                <w:sz w:val="20"/>
                <w:szCs w:val="20"/>
              </w:rPr>
            </w:pP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BA0FB8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县级及以上城市集中式饮用水水源水质达到或优于III类比例</w:t>
            </w:r>
          </w:p>
        </w:tc>
        <w:tc>
          <w:tcPr>
            <w:tcW w:w="58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9997B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达到国家下达目标要求</w:t>
            </w:r>
          </w:p>
        </w:tc>
        <w:tc>
          <w:tcPr>
            <w:tcW w:w="966"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A4608C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县级及以上城市集中式饮用水水源水质达到或优于III类比例达100%</w:t>
            </w:r>
          </w:p>
        </w:tc>
        <w:tc>
          <w:tcPr>
            <w:tcW w:w="1171"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02D90CA">
            <w:pPr>
              <w:jc w:val="center"/>
              <w:rPr>
                <w:rFonts w:ascii="宋体" w:hAnsi="宋体" w:eastAsia="宋体" w:cs="宋体"/>
                <w:color w:val="000000"/>
                <w:sz w:val="20"/>
                <w:szCs w:val="20"/>
              </w:rPr>
            </w:pPr>
          </w:p>
        </w:tc>
      </w:tr>
      <w:tr w14:paraId="543B28F9">
        <w:tblPrEx>
          <w:tblCellMar>
            <w:top w:w="0" w:type="dxa"/>
            <w:left w:w="108" w:type="dxa"/>
            <w:bottom w:w="0" w:type="dxa"/>
            <w:right w:w="108" w:type="dxa"/>
          </w:tblCellMar>
        </w:tblPrEx>
        <w:trPr>
          <w:trHeight w:val="645"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14:paraId="326230B4">
            <w:pPr>
              <w:jc w:val="center"/>
              <w:rPr>
                <w:rFonts w:ascii="宋体" w:hAnsi="宋体" w:eastAsia="宋体" w:cs="宋体"/>
                <w:color w:val="000000"/>
                <w:sz w:val="20"/>
                <w:szCs w:val="20"/>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74D4516">
            <w:pPr>
              <w:jc w:val="center"/>
              <w:rPr>
                <w:rFonts w:ascii="宋体" w:hAnsi="宋体" w:eastAsia="宋体" w:cs="宋体"/>
                <w:color w:val="000000"/>
                <w:sz w:val="20"/>
                <w:szCs w:val="20"/>
              </w:rPr>
            </w:pPr>
          </w:p>
        </w:tc>
        <w:tc>
          <w:tcPr>
            <w:tcW w:w="41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169D27C">
            <w:pPr>
              <w:jc w:val="center"/>
              <w:rPr>
                <w:rFonts w:ascii="宋体" w:hAnsi="宋体" w:eastAsia="宋体" w:cs="宋体"/>
                <w:color w:val="000000"/>
                <w:sz w:val="20"/>
                <w:szCs w:val="20"/>
              </w:rPr>
            </w:pP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D1811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地下水环境质量考核目标达标情况</w:t>
            </w:r>
          </w:p>
        </w:tc>
        <w:tc>
          <w:tcPr>
            <w:tcW w:w="58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FD273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达到国家下达目标要求</w:t>
            </w:r>
          </w:p>
        </w:tc>
        <w:tc>
          <w:tcPr>
            <w:tcW w:w="966"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4B3894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地下水国考点区域水质恶化点位数0，达到年度目标</w:t>
            </w:r>
          </w:p>
        </w:tc>
        <w:tc>
          <w:tcPr>
            <w:tcW w:w="1171"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F7781E0">
            <w:pPr>
              <w:jc w:val="center"/>
              <w:rPr>
                <w:rFonts w:ascii="宋体" w:hAnsi="宋体" w:eastAsia="宋体" w:cs="宋体"/>
                <w:color w:val="000000"/>
                <w:sz w:val="20"/>
                <w:szCs w:val="20"/>
              </w:rPr>
            </w:pPr>
          </w:p>
        </w:tc>
      </w:tr>
      <w:tr w14:paraId="23186AB9">
        <w:tblPrEx>
          <w:tblCellMar>
            <w:top w:w="0" w:type="dxa"/>
            <w:left w:w="108" w:type="dxa"/>
            <w:bottom w:w="0" w:type="dxa"/>
            <w:right w:w="108" w:type="dxa"/>
          </w:tblCellMar>
        </w:tblPrEx>
        <w:trPr>
          <w:trHeight w:val="885"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14:paraId="78B4FCF8">
            <w:pPr>
              <w:jc w:val="center"/>
              <w:rPr>
                <w:rFonts w:ascii="宋体" w:hAnsi="宋体" w:eastAsia="宋体" w:cs="宋体"/>
                <w:color w:val="000000"/>
                <w:sz w:val="20"/>
                <w:szCs w:val="20"/>
              </w:rPr>
            </w:pPr>
          </w:p>
        </w:tc>
        <w:tc>
          <w:tcPr>
            <w:tcW w:w="3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F97FB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满意度指标</w:t>
            </w:r>
          </w:p>
        </w:tc>
        <w:tc>
          <w:tcPr>
            <w:tcW w:w="41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35326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服务对象满意度指标</w:t>
            </w:r>
          </w:p>
        </w:tc>
        <w:tc>
          <w:tcPr>
            <w:tcW w:w="10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07873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群众满意度</w:t>
            </w:r>
          </w:p>
        </w:tc>
        <w:tc>
          <w:tcPr>
            <w:tcW w:w="58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147F3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≥90%</w:t>
            </w:r>
          </w:p>
        </w:tc>
        <w:tc>
          <w:tcPr>
            <w:tcW w:w="966"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05DE42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90%</w:t>
            </w:r>
          </w:p>
        </w:tc>
        <w:tc>
          <w:tcPr>
            <w:tcW w:w="1171"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ED4582F">
            <w:pPr>
              <w:widowControl/>
              <w:jc w:val="center"/>
              <w:textAlignment w:val="center"/>
              <w:rPr>
                <w:rFonts w:ascii="宋体" w:hAnsi="宋体" w:eastAsia="宋体" w:cs="宋体"/>
                <w:color w:val="000000"/>
                <w:sz w:val="20"/>
                <w:szCs w:val="20"/>
              </w:rPr>
            </w:pPr>
          </w:p>
        </w:tc>
      </w:tr>
      <w:tr w14:paraId="2BEF0F06">
        <w:tblPrEx>
          <w:tblCellMar>
            <w:top w:w="0" w:type="dxa"/>
            <w:left w:w="108" w:type="dxa"/>
            <w:bottom w:w="0" w:type="dxa"/>
            <w:right w:w="108" w:type="dxa"/>
          </w:tblCellMar>
        </w:tblPrEx>
        <w:trPr>
          <w:trHeight w:val="289"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71EF3BB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说明：无。</w:t>
            </w:r>
          </w:p>
        </w:tc>
      </w:tr>
      <w:tr w14:paraId="3DC6A7C4">
        <w:tblPrEx>
          <w:tblCellMar>
            <w:top w:w="0" w:type="dxa"/>
            <w:left w:w="108" w:type="dxa"/>
            <w:bottom w:w="0" w:type="dxa"/>
            <w:right w:w="108" w:type="dxa"/>
          </w:tblCellMar>
        </w:tblPrEx>
        <w:trPr>
          <w:trHeight w:val="1170"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53625535">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注:1.资金使用单位按项目绩效目标填报，主管部门汇总时按区域绩效目标填报。</w:t>
            </w:r>
            <w:r>
              <w:rPr>
                <w:rFonts w:hint="eastAsia" w:ascii="宋体" w:hAnsi="宋体" w:eastAsia="宋体" w:cs="宋体"/>
                <w:color w:val="000000"/>
                <w:kern w:val="0"/>
                <w:sz w:val="22"/>
                <w:lang w:bidi="ar"/>
              </w:rPr>
              <w:br w:type="textWrapping"/>
            </w:r>
            <w:r>
              <w:rPr>
                <w:rFonts w:hint="eastAsia" w:ascii="宋体" w:hAnsi="宋体" w:eastAsia="宋体" w:cs="宋体"/>
                <w:color w:val="000000"/>
                <w:kern w:val="0"/>
                <w:sz w:val="22"/>
                <w:lang w:bidi="ar"/>
              </w:rPr>
              <w:t xml:space="preserve">   2.其他资金包括与中央财政资金、地方财政资金共同投入到同一项目的自有资金、社会资金，以及以前年度的结转结余资金等。</w:t>
            </w:r>
            <w:r>
              <w:rPr>
                <w:rFonts w:hint="eastAsia" w:ascii="宋体" w:hAnsi="宋体" w:eastAsia="宋体" w:cs="宋体"/>
                <w:color w:val="000000"/>
                <w:kern w:val="0"/>
                <w:sz w:val="22"/>
                <w:lang w:bidi="ar"/>
              </w:rPr>
              <w:br w:type="textWrapping"/>
            </w:r>
            <w:r>
              <w:rPr>
                <w:rFonts w:hint="eastAsia" w:ascii="宋体" w:hAnsi="宋体" w:eastAsia="宋体" w:cs="宋体"/>
                <w:color w:val="000000"/>
                <w:kern w:val="0"/>
                <w:sz w:val="22"/>
                <w:lang w:bidi="ar"/>
              </w:rPr>
              <w:t xml:space="preserve">   3.全年执行数是指按照国库集中支付制度要求所形成的实际支出。</w:t>
            </w:r>
          </w:p>
        </w:tc>
      </w:tr>
    </w:tbl>
    <w:p w14:paraId="516FD385">
      <w:pPr>
        <w:pStyle w:val="28"/>
        <w:tabs>
          <w:tab w:val="left" w:pos="343"/>
        </w:tabs>
      </w:pPr>
    </w:p>
    <w:p w14:paraId="3CC6A5F6">
      <w:pPr>
        <w:tabs>
          <w:tab w:val="left" w:pos="12550"/>
        </w:tabs>
        <w:rPr>
          <w:rFonts w:ascii="黑体" w:hAnsi="黑体" w:eastAsia="黑体" w:cs="Times New Roman"/>
        </w:rPr>
      </w:pPr>
    </w:p>
    <w:sectPr>
      <w:pgSz w:w="16838" w:h="11906" w:orient="landscape"/>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C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onsolas">
    <w:panose1 w:val="020B0609020204030204"/>
    <w:charset w:val="00"/>
    <w:family w:val="modern"/>
    <w:pitch w:val="default"/>
    <w:sig w:usb0="E00002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方正仿宋_GB2312">
    <w:panose1 w:val="02000000000000000000"/>
    <w:charset w:val="86"/>
    <w:family w:val="auto"/>
    <w:pitch w:val="default"/>
    <w:sig w:usb0="A00002BF" w:usb1="184F6CFA" w:usb2="00000012" w:usb3="00000000" w:csb0="00040001" w:csb1="00000000"/>
  </w:font>
  <w:font w:name="方正小标宋简体">
    <w:altName w:val="黑体"/>
    <w:panose1 w:val="02000000000000000000"/>
    <w:charset w:val="86"/>
    <w:family w:val="auto"/>
    <w:pitch w:val="default"/>
    <w:sig w:usb0="00000000" w:usb1="00000000" w:usb2="00000012"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20DB9358">
        <w:pPr>
          <w:pStyle w:val="9"/>
          <w:jc w:val="center"/>
        </w:pPr>
        <w:r>
          <w:fldChar w:fldCharType="begin"/>
        </w:r>
        <w:r>
          <w:instrText xml:space="preserve">PAGE   \* MERGEFORMAT</w:instrText>
        </w:r>
        <w:r>
          <w:fldChar w:fldCharType="separate"/>
        </w:r>
        <w:r>
          <w:rPr>
            <w:lang w:val="zh-CN"/>
          </w:rPr>
          <w:t>13</w:t>
        </w:r>
        <w:r>
          <w:rPr>
            <w:lang w:val="zh-CN"/>
          </w:rPr>
          <w:fldChar w:fldCharType="end"/>
        </w:r>
      </w:p>
    </w:sdtContent>
  </w:sdt>
  <w:p w14:paraId="0672A9EB">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trackRevisions w:val="1"/>
  <w:documentProtection w:edit="readOnly" w:enforcement="0"/>
  <w:defaultTabStop w:val="420"/>
  <w:drawingGridHorizontalSpacing w:val="105"/>
  <w:drawingGridVerticalSpacing w:val="156"/>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279"/>
    <w:rsid w:val="00000D1F"/>
    <w:rsid w:val="000100DA"/>
    <w:rsid w:val="0001473B"/>
    <w:rsid w:val="00017EC5"/>
    <w:rsid w:val="000452F9"/>
    <w:rsid w:val="00065B92"/>
    <w:rsid w:val="00067D4E"/>
    <w:rsid w:val="00080539"/>
    <w:rsid w:val="0008756D"/>
    <w:rsid w:val="000A569E"/>
    <w:rsid w:val="000B24AE"/>
    <w:rsid w:val="000E06DC"/>
    <w:rsid w:val="000F1075"/>
    <w:rsid w:val="00100583"/>
    <w:rsid w:val="00105445"/>
    <w:rsid w:val="001320E8"/>
    <w:rsid w:val="00150B3A"/>
    <w:rsid w:val="00172FBB"/>
    <w:rsid w:val="00194E99"/>
    <w:rsid w:val="001A2737"/>
    <w:rsid w:val="001A63DE"/>
    <w:rsid w:val="001C18E2"/>
    <w:rsid w:val="001C1E67"/>
    <w:rsid w:val="001F0592"/>
    <w:rsid w:val="002228E1"/>
    <w:rsid w:val="0022430A"/>
    <w:rsid w:val="00226594"/>
    <w:rsid w:val="00230245"/>
    <w:rsid w:val="00231D15"/>
    <w:rsid w:val="0023332E"/>
    <w:rsid w:val="00233DB3"/>
    <w:rsid w:val="00255103"/>
    <w:rsid w:val="00281751"/>
    <w:rsid w:val="002B435E"/>
    <w:rsid w:val="002B67A9"/>
    <w:rsid w:val="002D2634"/>
    <w:rsid w:val="003177DD"/>
    <w:rsid w:val="00320A3A"/>
    <w:rsid w:val="0032214D"/>
    <w:rsid w:val="00327EA7"/>
    <w:rsid w:val="00333977"/>
    <w:rsid w:val="00342E9D"/>
    <w:rsid w:val="003447B5"/>
    <w:rsid w:val="00347882"/>
    <w:rsid w:val="003555D6"/>
    <w:rsid w:val="0037122A"/>
    <w:rsid w:val="00377C70"/>
    <w:rsid w:val="00396A80"/>
    <w:rsid w:val="003A2244"/>
    <w:rsid w:val="003A5990"/>
    <w:rsid w:val="003D5F69"/>
    <w:rsid w:val="003E5F6C"/>
    <w:rsid w:val="003F5A4D"/>
    <w:rsid w:val="0040211B"/>
    <w:rsid w:val="00424E8B"/>
    <w:rsid w:val="00437457"/>
    <w:rsid w:val="00475FB9"/>
    <w:rsid w:val="004956ED"/>
    <w:rsid w:val="004F2B61"/>
    <w:rsid w:val="0052594A"/>
    <w:rsid w:val="0053017A"/>
    <w:rsid w:val="00545289"/>
    <w:rsid w:val="00546F5B"/>
    <w:rsid w:val="00552FAD"/>
    <w:rsid w:val="00553F84"/>
    <w:rsid w:val="005769CE"/>
    <w:rsid w:val="005852FB"/>
    <w:rsid w:val="00590AD3"/>
    <w:rsid w:val="005B1B9D"/>
    <w:rsid w:val="005E59B9"/>
    <w:rsid w:val="0064688C"/>
    <w:rsid w:val="00654954"/>
    <w:rsid w:val="00657811"/>
    <w:rsid w:val="006608B3"/>
    <w:rsid w:val="00672708"/>
    <w:rsid w:val="00694532"/>
    <w:rsid w:val="006953D3"/>
    <w:rsid w:val="006958A3"/>
    <w:rsid w:val="006B7211"/>
    <w:rsid w:val="006D12DD"/>
    <w:rsid w:val="006E46F7"/>
    <w:rsid w:val="006F2279"/>
    <w:rsid w:val="006F481E"/>
    <w:rsid w:val="00702E23"/>
    <w:rsid w:val="00724A3D"/>
    <w:rsid w:val="00784D34"/>
    <w:rsid w:val="007A4D32"/>
    <w:rsid w:val="007B2232"/>
    <w:rsid w:val="007C1CA2"/>
    <w:rsid w:val="007E0C64"/>
    <w:rsid w:val="007E2E34"/>
    <w:rsid w:val="007F6852"/>
    <w:rsid w:val="00802107"/>
    <w:rsid w:val="008036B3"/>
    <w:rsid w:val="0086513D"/>
    <w:rsid w:val="00866EE9"/>
    <w:rsid w:val="008D422F"/>
    <w:rsid w:val="008D6E54"/>
    <w:rsid w:val="009003EC"/>
    <w:rsid w:val="009239D9"/>
    <w:rsid w:val="0093301B"/>
    <w:rsid w:val="0094423D"/>
    <w:rsid w:val="00975031"/>
    <w:rsid w:val="00976AF6"/>
    <w:rsid w:val="00976E78"/>
    <w:rsid w:val="00980655"/>
    <w:rsid w:val="009835DC"/>
    <w:rsid w:val="009943CB"/>
    <w:rsid w:val="009A2461"/>
    <w:rsid w:val="009A544C"/>
    <w:rsid w:val="009C6252"/>
    <w:rsid w:val="009D187F"/>
    <w:rsid w:val="00A24D8C"/>
    <w:rsid w:val="00A862CD"/>
    <w:rsid w:val="00AA3472"/>
    <w:rsid w:val="00AB5132"/>
    <w:rsid w:val="00AE1EB8"/>
    <w:rsid w:val="00AF624A"/>
    <w:rsid w:val="00B12AC0"/>
    <w:rsid w:val="00B13F40"/>
    <w:rsid w:val="00B410FA"/>
    <w:rsid w:val="00B63815"/>
    <w:rsid w:val="00B952E8"/>
    <w:rsid w:val="00BE6527"/>
    <w:rsid w:val="00BF1FC3"/>
    <w:rsid w:val="00C2108A"/>
    <w:rsid w:val="00C238DD"/>
    <w:rsid w:val="00C6060A"/>
    <w:rsid w:val="00C83F49"/>
    <w:rsid w:val="00CB00E5"/>
    <w:rsid w:val="00CB796D"/>
    <w:rsid w:val="00CD5670"/>
    <w:rsid w:val="00CE73B9"/>
    <w:rsid w:val="00D131CA"/>
    <w:rsid w:val="00D33119"/>
    <w:rsid w:val="00D54CFA"/>
    <w:rsid w:val="00D554DA"/>
    <w:rsid w:val="00D8541F"/>
    <w:rsid w:val="00D94EEA"/>
    <w:rsid w:val="00DC2E4F"/>
    <w:rsid w:val="00DD13A6"/>
    <w:rsid w:val="00DE039C"/>
    <w:rsid w:val="00E12CFD"/>
    <w:rsid w:val="00E1647D"/>
    <w:rsid w:val="00E16F7C"/>
    <w:rsid w:val="00E175B0"/>
    <w:rsid w:val="00E34025"/>
    <w:rsid w:val="00E401F9"/>
    <w:rsid w:val="00E56618"/>
    <w:rsid w:val="00E63012"/>
    <w:rsid w:val="00E63A4D"/>
    <w:rsid w:val="00E72838"/>
    <w:rsid w:val="00E72873"/>
    <w:rsid w:val="00E773C5"/>
    <w:rsid w:val="00E82AF8"/>
    <w:rsid w:val="00EA577D"/>
    <w:rsid w:val="00EC7524"/>
    <w:rsid w:val="00ED2579"/>
    <w:rsid w:val="00EE7A08"/>
    <w:rsid w:val="00EF1C02"/>
    <w:rsid w:val="00EF4AC6"/>
    <w:rsid w:val="00EF4CFF"/>
    <w:rsid w:val="00F21950"/>
    <w:rsid w:val="00F301CD"/>
    <w:rsid w:val="00F31535"/>
    <w:rsid w:val="00F66C3D"/>
    <w:rsid w:val="00F67632"/>
    <w:rsid w:val="00F677C0"/>
    <w:rsid w:val="00F82B8A"/>
    <w:rsid w:val="00FA7645"/>
    <w:rsid w:val="00FB5644"/>
    <w:rsid w:val="00FC056B"/>
    <w:rsid w:val="00FC2423"/>
    <w:rsid w:val="00FD0C47"/>
    <w:rsid w:val="00FD0EAC"/>
    <w:rsid w:val="0E2277AA"/>
    <w:rsid w:val="1AEC0405"/>
    <w:rsid w:val="1D9FD00F"/>
    <w:rsid w:val="377E0FFF"/>
    <w:rsid w:val="37A75E41"/>
    <w:rsid w:val="39DB61DD"/>
    <w:rsid w:val="3EEF399A"/>
    <w:rsid w:val="47E25180"/>
    <w:rsid w:val="495864E3"/>
    <w:rsid w:val="4BFF690F"/>
    <w:rsid w:val="4F5F567B"/>
    <w:rsid w:val="54EED1CD"/>
    <w:rsid w:val="55BFC167"/>
    <w:rsid w:val="56377E5B"/>
    <w:rsid w:val="56CF28A3"/>
    <w:rsid w:val="57EF7710"/>
    <w:rsid w:val="5CF3BC13"/>
    <w:rsid w:val="5CF95038"/>
    <w:rsid w:val="5D7B7081"/>
    <w:rsid w:val="5FFF9109"/>
    <w:rsid w:val="675C490D"/>
    <w:rsid w:val="6F7B97EC"/>
    <w:rsid w:val="6FA5D99E"/>
    <w:rsid w:val="6FE75FF9"/>
    <w:rsid w:val="72770257"/>
    <w:rsid w:val="73FF7DDB"/>
    <w:rsid w:val="758DAFE0"/>
    <w:rsid w:val="76AE4AB3"/>
    <w:rsid w:val="77BBDCCB"/>
    <w:rsid w:val="7AF522B8"/>
    <w:rsid w:val="7AF656EA"/>
    <w:rsid w:val="7D1A6FD5"/>
    <w:rsid w:val="7D518154"/>
    <w:rsid w:val="7E7DACCC"/>
    <w:rsid w:val="7F666DAB"/>
    <w:rsid w:val="7FAF65E0"/>
    <w:rsid w:val="7FCF2871"/>
    <w:rsid w:val="7FFD7672"/>
    <w:rsid w:val="7FFF2B03"/>
    <w:rsid w:val="8EEDCC78"/>
    <w:rsid w:val="AEF03A87"/>
    <w:rsid w:val="B53D0D83"/>
    <w:rsid w:val="B97CB12B"/>
    <w:rsid w:val="BBCDD858"/>
    <w:rsid w:val="BBFE8D72"/>
    <w:rsid w:val="BDF61610"/>
    <w:rsid w:val="BF659957"/>
    <w:rsid w:val="E6EF8A69"/>
    <w:rsid w:val="E76F7340"/>
    <w:rsid w:val="EB2FB40B"/>
    <w:rsid w:val="EF67D015"/>
    <w:rsid w:val="EFFA4820"/>
    <w:rsid w:val="EFFEBB0E"/>
    <w:rsid w:val="F33D00A7"/>
    <w:rsid w:val="F3C6FB16"/>
    <w:rsid w:val="F6B97CD5"/>
    <w:rsid w:val="F6BDE38C"/>
    <w:rsid w:val="F6E7A410"/>
    <w:rsid w:val="F6EF95C4"/>
    <w:rsid w:val="F76CDD1E"/>
    <w:rsid w:val="FB47AF8B"/>
    <w:rsid w:val="FBDF7747"/>
    <w:rsid w:val="FCDF0F24"/>
    <w:rsid w:val="FDEB31B7"/>
    <w:rsid w:val="FE2532BF"/>
    <w:rsid w:val="FE77DB22"/>
    <w:rsid w:val="FF8D620C"/>
    <w:rsid w:val="FFEE5086"/>
    <w:rsid w:val="FFFFE0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Times New Roman" w:eastAsia="等线" w:cs="Arial"/>
      <w:kern w:val="2"/>
      <w:sz w:val="21"/>
      <w:szCs w:val="22"/>
      <w:lang w:val="en-US" w:eastAsia="zh-CN" w:bidi="ar-SA"/>
    </w:rPr>
  </w:style>
  <w:style w:type="paragraph" w:styleId="2">
    <w:name w:val="heading 1"/>
    <w:basedOn w:val="1"/>
    <w:next w:val="1"/>
    <w:qFormat/>
    <w:uiPriority w:val="0"/>
    <w:pPr>
      <w:keepNext/>
      <w:keepLines/>
      <w:widowControl/>
      <w:adjustRightInd w:val="0"/>
      <w:snapToGrid w:val="0"/>
      <w:spacing w:before="340" w:after="330" w:line="578" w:lineRule="auto"/>
      <w:jc w:val="left"/>
      <w:outlineLvl w:val="0"/>
    </w:pPr>
    <w:rPr>
      <w:rFonts w:ascii="Tahoma" w:hAnsi="Tahoma" w:eastAsia="微软雅黑"/>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Cambria" w:hAnsi="Cambria" w:eastAsia="宋体" w:cs="Times New Roman"/>
      <w:b/>
      <w:bCs/>
      <w:kern w:val="0"/>
      <w:sz w:val="32"/>
      <w:szCs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widowControl/>
      <w:adjustRightInd w:val="0"/>
      <w:snapToGrid w:val="0"/>
      <w:spacing w:after="200"/>
      <w:jc w:val="left"/>
    </w:pPr>
    <w:rPr>
      <w:rFonts w:ascii="Tahoma" w:hAnsi="Tahoma" w:eastAsia="微软雅黑"/>
      <w:kern w:val="0"/>
      <w:sz w:val="22"/>
    </w:rPr>
  </w:style>
  <w:style w:type="paragraph" w:styleId="6">
    <w:name w:val="Body Text Indent"/>
    <w:basedOn w:val="1"/>
    <w:qFormat/>
    <w:uiPriority w:val="0"/>
    <w:pPr>
      <w:widowControl/>
      <w:adjustRightInd w:val="0"/>
      <w:snapToGrid w:val="0"/>
      <w:spacing w:after="120"/>
      <w:ind w:left="200" w:leftChars="200"/>
      <w:jc w:val="left"/>
    </w:pPr>
    <w:rPr>
      <w:rFonts w:ascii="Tahoma" w:hAnsi="Tahoma" w:eastAsia="微软雅黑"/>
      <w:kern w:val="0"/>
      <w:sz w:val="22"/>
    </w:rPr>
  </w:style>
  <w:style w:type="paragraph" w:styleId="7">
    <w:name w:val="endnote text"/>
    <w:basedOn w:val="1"/>
    <w:qFormat/>
    <w:uiPriority w:val="0"/>
    <w:pPr>
      <w:snapToGrid w:val="0"/>
      <w:jc w:val="left"/>
    </w:pPr>
  </w:style>
  <w:style w:type="paragraph" w:styleId="8">
    <w:name w:val="Balloon Text"/>
    <w:basedOn w:val="1"/>
    <w:qFormat/>
    <w:uiPriority w:val="0"/>
    <w:pPr>
      <w:widowControl/>
      <w:adjustRightInd w:val="0"/>
      <w:snapToGrid w:val="0"/>
      <w:jc w:val="left"/>
    </w:pPr>
    <w:rPr>
      <w:rFonts w:ascii="Tahoma" w:hAnsi="Tahoma" w:eastAsia="微软雅黑"/>
      <w:kern w:val="0"/>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2"/>
    <w:basedOn w:val="1"/>
    <w:qFormat/>
    <w:uiPriority w:val="0"/>
    <w:pPr>
      <w:spacing w:after="120" w:line="480" w:lineRule="auto"/>
    </w:pPr>
  </w:style>
  <w:style w:type="paragraph" w:styleId="12">
    <w:name w:val="Normal (Web)"/>
    <w:basedOn w:val="1"/>
    <w:qFormat/>
    <w:uiPriority w:val="0"/>
    <w:pPr>
      <w:widowControl/>
      <w:spacing w:before="100" w:beforeAutospacing="1" w:after="100" w:afterAutospacing="1"/>
      <w:jc w:val="left"/>
    </w:pPr>
    <w:rPr>
      <w:rFonts w:ascii="宋体" w:eastAsia="宋体" w:cs="宋体"/>
      <w:kern w:val="0"/>
      <w:sz w:val="24"/>
      <w:szCs w:val="24"/>
    </w:rPr>
  </w:style>
  <w:style w:type="paragraph" w:styleId="13">
    <w:name w:val="annotation subject"/>
    <w:basedOn w:val="5"/>
    <w:next w:val="5"/>
    <w:qFormat/>
    <w:uiPriority w:val="0"/>
    <w:rPr>
      <w:b/>
      <w:bCs/>
    </w:rPr>
  </w:style>
  <w:style w:type="paragraph" w:styleId="14">
    <w:name w:val="Body Text First Indent 2"/>
    <w:basedOn w:val="6"/>
    <w:qFormat/>
    <w:uiPriority w:val="0"/>
    <w:pPr>
      <w:widowControl w:val="0"/>
      <w:adjustRightInd/>
      <w:snapToGrid/>
      <w:spacing w:after="0" w:line="357" w:lineRule="atLeast"/>
      <w:ind w:firstLine="420"/>
      <w:jc w:val="both"/>
      <w:textAlignment w:val="baseline"/>
    </w:pPr>
    <w:rPr>
      <w:rFonts w:ascii="仿宋_GB2312" w:eastAsia="仿宋_GB2312" w:cs="仿宋_GB2312"/>
      <w:color w:val="000000"/>
      <w:kern w:val="2"/>
      <w:sz w:val="30"/>
      <w:szCs w:val="30"/>
    </w:rPr>
  </w:style>
  <w:style w:type="character" w:styleId="17">
    <w:name w:val="Strong"/>
    <w:basedOn w:val="16"/>
    <w:qFormat/>
    <w:uiPriority w:val="0"/>
    <w:rPr>
      <w:b/>
    </w:rPr>
  </w:style>
  <w:style w:type="character" w:styleId="18">
    <w:name w:val="FollowedHyperlink"/>
    <w:basedOn w:val="16"/>
    <w:qFormat/>
    <w:uiPriority w:val="0"/>
    <w:rPr>
      <w:rFonts w:ascii="微软雅黑" w:eastAsia="微软雅黑" w:cs="微软雅黑"/>
      <w:color w:val="333333"/>
      <w:u w:val="none"/>
    </w:rPr>
  </w:style>
  <w:style w:type="character" w:styleId="19">
    <w:name w:val="Emphasis"/>
    <w:basedOn w:val="16"/>
    <w:qFormat/>
    <w:uiPriority w:val="0"/>
  </w:style>
  <w:style w:type="character" w:styleId="20">
    <w:name w:val="HTML Definition"/>
    <w:basedOn w:val="16"/>
    <w:qFormat/>
    <w:uiPriority w:val="0"/>
  </w:style>
  <w:style w:type="character" w:styleId="21">
    <w:name w:val="HTML Variable"/>
    <w:basedOn w:val="16"/>
    <w:qFormat/>
    <w:uiPriority w:val="0"/>
  </w:style>
  <w:style w:type="character" w:styleId="22">
    <w:name w:val="Hyperlink"/>
    <w:basedOn w:val="16"/>
    <w:qFormat/>
    <w:uiPriority w:val="0"/>
    <w:rPr>
      <w:rFonts w:ascii="微软雅黑" w:eastAsia="微软雅黑" w:cs="微软雅黑"/>
      <w:color w:val="333333"/>
      <w:u w:val="none"/>
    </w:rPr>
  </w:style>
  <w:style w:type="character" w:styleId="23">
    <w:name w:val="HTML Code"/>
    <w:basedOn w:val="16"/>
    <w:qFormat/>
    <w:uiPriority w:val="0"/>
    <w:rPr>
      <w:rFonts w:ascii="Consolas" w:hAnsi="Consolas" w:eastAsia="Consolas" w:cs="Consolas"/>
      <w:color w:val="C7254E"/>
      <w:sz w:val="21"/>
      <w:szCs w:val="21"/>
      <w:shd w:val="clear" w:color="auto" w:fill="F9F2F4"/>
    </w:rPr>
  </w:style>
  <w:style w:type="character" w:styleId="24">
    <w:name w:val="annotation reference"/>
    <w:basedOn w:val="16"/>
    <w:qFormat/>
    <w:uiPriority w:val="0"/>
    <w:rPr>
      <w:sz w:val="21"/>
      <w:szCs w:val="21"/>
    </w:rPr>
  </w:style>
  <w:style w:type="character" w:styleId="25">
    <w:name w:val="HTML Cite"/>
    <w:basedOn w:val="16"/>
    <w:qFormat/>
    <w:uiPriority w:val="0"/>
  </w:style>
  <w:style w:type="character" w:styleId="26">
    <w:name w:val="HTML Keyboard"/>
    <w:basedOn w:val="16"/>
    <w:qFormat/>
    <w:uiPriority w:val="0"/>
    <w:rPr>
      <w:rFonts w:ascii="Consolas" w:hAnsi="Consolas" w:eastAsia="Consolas" w:cs="Consolas"/>
      <w:color w:val="FFFFFF"/>
      <w:sz w:val="21"/>
      <w:szCs w:val="21"/>
      <w:shd w:val="clear" w:color="auto" w:fill="333333"/>
    </w:rPr>
  </w:style>
  <w:style w:type="character" w:styleId="27">
    <w:name w:val="HTML Sample"/>
    <w:basedOn w:val="16"/>
    <w:qFormat/>
    <w:uiPriority w:val="0"/>
    <w:rPr>
      <w:rFonts w:ascii="Consolas" w:hAnsi="Consolas" w:eastAsia="Consolas" w:cs="Consolas"/>
      <w:sz w:val="21"/>
      <w:szCs w:val="21"/>
    </w:rPr>
  </w:style>
  <w:style w:type="paragraph" w:customStyle="1" w:styleId="28">
    <w:name w:val="_Style 1"/>
    <w:qFormat/>
    <w:uiPriority w:val="0"/>
    <w:pPr>
      <w:widowControl w:val="0"/>
      <w:jc w:val="both"/>
    </w:pPr>
    <w:rPr>
      <w:rFonts w:ascii="Times New Roman" w:hAnsi="Times New Roman" w:eastAsia="宋体" w:cs="Times New Roman"/>
      <w:kern w:val="2"/>
      <w:sz w:val="28"/>
      <w:szCs w:val="28"/>
      <w:lang w:val="en-US" w:eastAsia="zh-CN" w:bidi="ar-SA"/>
    </w:rPr>
  </w:style>
  <w:style w:type="paragraph" w:customStyle="1" w:styleId="29">
    <w:name w:val="标题 21"/>
    <w:basedOn w:val="1"/>
    <w:next w:val="1"/>
    <w:qFormat/>
    <w:uiPriority w:val="0"/>
    <w:pPr>
      <w:keepNext/>
      <w:keepLines/>
      <w:widowControl/>
      <w:adjustRightInd w:val="0"/>
      <w:snapToGrid w:val="0"/>
      <w:spacing w:before="260" w:after="260" w:line="415" w:lineRule="auto"/>
      <w:jc w:val="left"/>
      <w:outlineLvl w:val="1"/>
    </w:pPr>
    <w:rPr>
      <w:rFonts w:ascii="Cambria" w:hAnsi="Cambria" w:eastAsia="宋体" w:cs="Times New Roman"/>
      <w:b/>
      <w:bCs/>
      <w:kern w:val="0"/>
      <w:sz w:val="32"/>
      <w:szCs w:val="32"/>
    </w:rPr>
  </w:style>
  <w:style w:type="paragraph" w:customStyle="1" w:styleId="30">
    <w:name w:val="页脚1"/>
    <w:basedOn w:val="1"/>
    <w:next w:val="9"/>
    <w:qFormat/>
    <w:uiPriority w:val="0"/>
    <w:pPr>
      <w:tabs>
        <w:tab w:val="center" w:pos="4153"/>
        <w:tab w:val="right" w:pos="8306"/>
      </w:tabs>
      <w:snapToGrid w:val="0"/>
      <w:jc w:val="left"/>
    </w:pPr>
    <w:rPr>
      <w:sz w:val="18"/>
      <w:szCs w:val="18"/>
    </w:rPr>
  </w:style>
  <w:style w:type="paragraph" w:customStyle="1" w:styleId="31">
    <w:name w:val="页眉1"/>
    <w:basedOn w:val="1"/>
    <w:next w:val="10"/>
    <w:qFormat/>
    <w:uiPriority w:val="0"/>
    <w:pPr>
      <w:pBdr>
        <w:bottom w:val="single" w:color="auto" w:sz="6" w:space="1"/>
      </w:pBdr>
      <w:tabs>
        <w:tab w:val="center" w:pos="4153"/>
        <w:tab w:val="right" w:pos="8306"/>
      </w:tabs>
      <w:snapToGrid w:val="0"/>
      <w:jc w:val="center"/>
    </w:pPr>
    <w:rPr>
      <w:sz w:val="18"/>
      <w:szCs w:val="18"/>
    </w:rPr>
  </w:style>
  <w:style w:type="character" w:customStyle="1" w:styleId="32">
    <w:name w:val="标题 2 字符1"/>
    <w:basedOn w:val="16"/>
    <w:qFormat/>
    <w:uiPriority w:val="0"/>
    <w:rPr>
      <w:rFonts w:ascii="等线 Light" w:eastAsia="等线 Light" w:cs="Times New Roman"/>
      <w:b/>
      <w:bCs/>
      <w:sz w:val="32"/>
      <w:szCs w:val="32"/>
    </w:rPr>
  </w:style>
  <w:style w:type="character" w:customStyle="1" w:styleId="33">
    <w:name w:val="layui-this"/>
    <w:basedOn w:val="16"/>
    <w:qFormat/>
    <w:uiPriority w:val="0"/>
    <w:rPr>
      <w:bdr w:val="single" w:color="EEEEEE" w:sz="6" w:space="0"/>
      <w:shd w:val="clear" w:color="auto" w:fill="FFFFFF"/>
    </w:rPr>
  </w:style>
  <w:style w:type="character" w:customStyle="1" w:styleId="34">
    <w:name w:val="first-child"/>
    <w:basedOn w:val="16"/>
    <w:qFormat/>
    <w:uiPriority w:val="0"/>
  </w:style>
  <w:style w:type="character" w:customStyle="1" w:styleId="35">
    <w:name w:val="ivu-radio+*"/>
    <w:basedOn w:val="16"/>
    <w:qFormat/>
    <w:uiPriority w:val="0"/>
  </w:style>
  <w:style w:type="character" w:customStyle="1" w:styleId="36">
    <w:name w:val="ivu-date-picker-cells-cell"/>
    <w:basedOn w:val="16"/>
    <w:qFormat/>
    <w:uiPriority w:val="0"/>
  </w:style>
  <w:style w:type="character" w:customStyle="1" w:styleId="37">
    <w:name w:val="ui-state-disabled"/>
    <w:basedOn w:val="16"/>
    <w:qFormat/>
    <w:uiPriority w:val="0"/>
  </w:style>
  <w:style w:type="character" w:customStyle="1" w:styleId="38">
    <w:name w:val="wx"/>
    <w:basedOn w:val="16"/>
    <w:qFormat/>
    <w:uiPriority w:val="0"/>
    <w:rPr>
      <w:vanish/>
    </w:rPr>
  </w:style>
  <w:style w:type="character" w:customStyle="1" w:styleId="39">
    <w:name w:val="wx1"/>
    <w:basedOn w:val="16"/>
    <w:qFormat/>
    <w:uiPriority w:val="0"/>
  </w:style>
  <w:style w:type="character" w:customStyle="1" w:styleId="40">
    <w:name w:val="first-child1"/>
    <w:basedOn w:val="16"/>
    <w:qFormat/>
    <w:uiPriority w:val="0"/>
  </w:style>
  <w:style w:type="character" w:customStyle="1" w:styleId="41">
    <w:name w:val="last"/>
    <w:basedOn w:val="16"/>
    <w:qFormat/>
    <w:uiPriority w:val="0"/>
  </w:style>
  <w:style w:type="character" w:customStyle="1" w:styleId="42">
    <w:name w:val="hover29"/>
    <w:basedOn w:val="16"/>
    <w:qFormat/>
    <w:uiPriority w:val="0"/>
    <w:rPr>
      <w:color w:val="000000"/>
      <w:shd w:val="clear" w:color="auto" w:fill="FFFFFF"/>
    </w:rPr>
  </w:style>
  <w:style w:type="character" w:customStyle="1" w:styleId="43">
    <w:name w:val="wx-space"/>
    <w:basedOn w:val="16"/>
    <w:qFormat/>
    <w:uiPriority w:val="0"/>
  </w:style>
  <w:style w:type="character" w:customStyle="1" w:styleId="44">
    <w:name w:val="wx-space1"/>
    <w:basedOn w:val="16"/>
    <w:qFormat/>
    <w:uiPriority w:val="0"/>
  </w:style>
  <w:style w:type="character" w:customStyle="1" w:styleId="45">
    <w:name w:val="one"/>
    <w:basedOn w:val="16"/>
    <w:qFormat/>
    <w:uiPriority w:val="0"/>
    <w:rPr>
      <w:color w:val="003366"/>
    </w:rPr>
  </w:style>
  <w:style w:type="character" w:customStyle="1" w:styleId="46">
    <w:name w:val="font11"/>
    <w:basedOn w:val="16"/>
    <w:qFormat/>
    <w:uiPriority w:val="0"/>
    <w:rPr>
      <w:rFonts w:ascii="宋体" w:eastAsia="宋体" w:cs="宋体"/>
      <w:b/>
      <w:color w:val="000000"/>
      <w:sz w:val="18"/>
      <w:szCs w:val="18"/>
      <w:u w:val="none"/>
    </w:rPr>
  </w:style>
  <w:style w:type="paragraph" w:customStyle="1" w:styleId="47">
    <w:name w:val="列出段落1"/>
    <w:basedOn w:val="1"/>
    <w:qFormat/>
    <w:uiPriority w:val="0"/>
    <w:pPr>
      <w:ind w:firstLine="200" w:firstLineChars="200"/>
    </w:pPr>
  </w:style>
  <w:style w:type="paragraph" w:styleId="48">
    <w:name w:val="List Paragraph"/>
    <w:basedOn w:val="1"/>
    <w:qFormat/>
    <w:uiPriority w:val="0"/>
    <w:pPr>
      <w:ind w:firstLine="200" w:firstLineChars="200"/>
    </w:pPr>
  </w:style>
  <w:style w:type="paragraph" w:customStyle="1" w:styleId="49">
    <w:name w:val="修订1"/>
    <w:hidden/>
    <w:unhideWhenUsed/>
    <w:qFormat/>
    <w:uiPriority w:val="99"/>
    <w:rPr>
      <w:rFonts w:ascii="等线" w:hAnsi="Times New Roman" w:eastAsia="等线" w:cs="Arial"/>
      <w:kern w:val="2"/>
      <w:sz w:val="21"/>
      <w:szCs w:val="22"/>
      <w:lang w:val="en-US" w:eastAsia="zh-CN" w:bidi="ar-SA"/>
    </w:rPr>
  </w:style>
  <w:style w:type="character" w:customStyle="1" w:styleId="50">
    <w:name w:val="font31"/>
    <w:basedOn w:val="16"/>
    <w:qFormat/>
    <w:uiPriority w:val="0"/>
    <w:rPr>
      <w:rFonts w:hint="eastAsia" w:ascii="宋体" w:hAnsi="宋体" w:eastAsia="宋体" w:cs="宋体"/>
      <w:color w:val="000000"/>
      <w:sz w:val="22"/>
      <w:szCs w:val="22"/>
      <w:u w:val="none"/>
    </w:rPr>
  </w:style>
  <w:style w:type="character" w:customStyle="1" w:styleId="51">
    <w:name w:val="font21"/>
    <w:basedOn w:val="16"/>
    <w:qFormat/>
    <w:uiPriority w:val="0"/>
    <w:rPr>
      <w:rFonts w:hint="eastAsia" w:ascii="方正仿宋_GB2312" w:hAnsi="方正仿宋_GB2312" w:eastAsia="方正仿宋_GB2312" w:cs="方正仿宋_GB2312"/>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4994</Words>
  <Characters>5493</Characters>
  <Lines>57</Lines>
  <Paragraphs>16</Paragraphs>
  <TotalTime>7</TotalTime>
  <ScaleCrop>false</ScaleCrop>
  <LinksUpToDate>false</LinksUpToDate>
  <CharactersWithSpaces>5500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2025-08-01T23:12:00Z</dcterms:created>
  <dc:creator>李杰</dc:creator>
  <cp:lastModifiedBy>何以笙萧默</cp:lastModifiedBy>
  <cp:lastPrinted>2025-08-05T08:55:00Z</cp:lastPrinted>
  <dcterms:modified xsi:type="dcterms:W3CDTF">2025-08-14T02:31:28Z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62C46AABA3C946C38F3E92EA46BC75E7_13</vt:lpwstr>
  </property>
  <property fmtid="{D5CDD505-2E9C-101B-9397-08002B2CF9AE}" pid="4" name="KSOTemplateDocerSaveRecord">
    <vt:lpwstr>eyJoZGlkIjoiZTVjMGMyZDIyYmEyYWNlOTUwMTA0ODYyZjNhZmVjMTUiLCJ1c2VySWQiOiIyNzUzNzg5NjAifQ==</vt:lpwstr>
  </property>
</Properties>
</file>