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0" w:beforeAutospacing="0" w:after="0" w:afterAutospacing="0"/>
        <w:jc w:val="center"/>
        <w:rPr>
          <w:rFonts w:ascii="Times New Roman" w:hAnsi="Times New Roman" w:cs="Times New Roman"/>
          <w:b/>
          <w:color w:val="000000"/>
          <w:sz w:val="52"/>
          <w:szCs w:val="52"/>
        </w:rPr>
      </w:pPr>
      <w:r>
        <w:rPr>
          <w:rFonts w:hint="eastAsia" w:ascii="Times New Roman" w:cs="Times New Roman"/>
          <w:b/>
          <w:color w:val="000000"/>
          <w:sz w:val="52"/>
          <w:szCs w:val="52"/>
        </w:rPr>
        <w:t>贵州省环境质量月报</w:t>
      </w:r>
    </w:p>
    <w:p>
      <w:pPr>
        <w:pStyle w:val="7"/>
        <w:spacing w:before="0" w:beforeAutospacing="0" w:after="0" w:afterAutospacing="0"/>
        <w:jc w:val="center"/>
        <w:rPr>
          <w:rFonts w:ascii="Times New Roman" w:cs="Times New Roman"/>
          <w:b/>
          <w:color w:val="000000"/>
          <w:sz w:val="44"/>
          <w:szCs w:val="44"/>
        </w:rPr>
      </w:pPr>
      <w:r>
        <w:rPr>
          <w:rFonts w:hint="eastAsia" w:ascii="Times New Roman" w:cs="Times New Roman"/>
          <w:b/>
          <w:color w:val="000000"/>
          <w:sz w:val="44"/>
          <w:szCs w:val="44"/>
        </w:rPr>
        <w:t>（</w:t>
      </w:r>
      <w:r>
        <w:rPr>
          <w:rFonts w:ascii="Times New Roman" w:hAnsi="Times New Roman" w:cs="Times New Roman"/>
          <w:b/>
          <w:color w:val="000000"/>
          <w:sz w:val="44"/>
          <w:szCs w:val="44"/>
        </w:rPr>
        <w:t>201</w:t>
      </w:r>
      <w:r>
        <w:rPr>
          <w:rFonts w:hint="eastAsia" w:ascii="Times New Roman" w:hAnsi="Times New Roman" w:cs="Times New Roman"/>
          <w:b/>
          <w:color w:val="000000"/>
          <w:sz w:val="44"/>
          <w:szCs w:val="44"/>
        </w:rPr>
        <w:t>6</w:t>
      </w:r>
      <w:r>
        <w:rPr>
          <w:rFonts w:hint="eastAsia" w:ascii="Times New Roman" w:cs="Times New Roman"/>
          <w:b/>
          <w:color w:val="000000"/>
          <w:sz w:val="44"/>
          <w:szCs w:val="44"/>
        </w:rPr>
        <w:t>年</w:t>
      </w:r>
      <w:r>
        <w:rPr>
          <w:rFonts w:hint="eastAsia" w:ascii="Times New Roman" w:hAnsi="Times New Roman" w:cs="Times New Roman"/>
          <w:b/>
          <w:color w:val="000000"/>
          <w:sz w:val="44"/>
          <w:szCs w:val="44"/>
        </w:rPr>
        <w:t>8</w:t>
      </w:r>
      <w:r>
        <w:rPr>
          <w:rFonts w:hint="eastAsia" w:ascii="Times New Roman" w:cs="Times New Roman"/>
          <w:b/>
          <w:color w:val="000000"/>
          <w:sz w:val="44"/>
          <w:szCs w:val="44"/>
        </w:rPr>
        <w:t>月）</w:t>
      </w:r>
    </w:p>
    <w:p>
      <w:pPr>
        <w:pStyle w:val="7"/>
        <w:numPr>
          <w:ilvl w:val="0"/>
          <w:numId w:val="1"/>
        </w:numPr>
        <w:spacing w:before="0" w:beforeAutospacing="0" w:after="0" w:afterAutospacing="0"/>
        <w:rPr>
          <w:rFonts w:ascii="Times New Roman" w:cs="Times New Roman"/>
          <w:b/>
          <w:color w:val="000000"/>
          <w:sz w:val="28"/>
          <w:szCs w:val="28"/>
        </w:rPr>
      </w:pPr>
      <w:r>
        <w:rPr>
          <w:rFonts w:hint="eastAsia" w:ascii="Times New Roman" w:cs="Times New Roman"/>
          <w:b/>
          <w:color w:val="000000"/>
          <w:sz w:val="28"/>
          <w:szCs w:val="28"/>
        </w:rPr>
        <w:t>城市环境空气质量</w:t>
      </w:r>
    </w:p>
    <w:p>
      <w:pPr>
        <w:ind w:firstLine="560" w:firstLineChars="200"/>
        <w:jc w:val="left"/>
        <w:rPr>
          <w:rFonts w:ascii="宋体" w:hAnsi="宋体"/>
          <w:color w:val="000000"/>
          <w:kern w:val="0"/>
          <w:sz w:val="28"/>
          <w:szCs w:val="28"/>
        </w:rPr>
      </w:pPr>
      <w:r>
        <w:rPr>
          <w:rFonts w:ascii="宋体" w:hAnsi="宋体"/>
          <w:color w:val="000000"/>
          <w:kern w:val="0"/>
          <w:sz w:val="28"/>
          <w:szCs w:val="28"/>
        </w:rPr>
        <w:t>201</w:t>
      </w:r>
      <w:r>
        <w:rPr>
          <w:rFonts w:hint="eastAsia" w:ascii="宋体" w:hAnsi="宋体"/>
          <w:color w:val="000000"/>
          <w:kern w:val="0"/>
          <w:sz w:val="28"/>
          <w:szCs w:val="28"/>
        </w:rPr>
        <w:t>6</w:t>
      </w:r>
      <w:r>
        <w:rPr>
          <w:rFonts w:ascii="宋体" w:hAnsi="宋体"/>
          <w:color w:val="000000"/>
          <w:kern w:val="0"/>
          <w:sz w:val="28"/>
          <w:szCs w:val="28"/>
        </w:rPr>
        <w:t>年</w:t>
      </w:r>
      <w:r>
        <w:rPr>
          <w:rFonts w:hint="eastAsia" w:ascii="宋体" w:hAnsi="宋体"/>
          <w:color w:val="000000"/>
          <w:kern w:val="0"/>
          <w:sz w:val="28"/>
          <w:szCs w:val="28"/>
        </w:rPr>
        <w:t>8</w:t>
      </w:r>
      <w:r>
        <w:rPr>
          <w:rFonts w:ascii="宋体" w:hAnsi="宋体"/>
          <w:color w:val="000000"/>
          <w:kern w:val="0"/>
          <w:sz w:val="28"/>
          <w:szCs w:val="28"/>
        </w:rPr>
        <w:t>月，我省</w:t>
      </w:r>
      <w:r>
        <w:rPr>
          <w:rFonts w:hint="eastAsia" w:ascii="宋体" w:hAnsi="宋体"/>
          <w:color w:val="000000"/>
          <w:kern w:val="0"/>
          <w:sz w:val="28"/>
          <w:szCs w:val="28"/>
        </w:rPr>
        <w:t>9个中心城市</w:t>
      </w:r>
      <w:r>
        <w:rPr>
          <w:rFonts w:ascii="宋体" w:hAnsi="宋体"/>
          <w:color w:val="000000"/>
          <w:kern w:val="0"/>
          <w:sz w:val="28"/>
          <w:szCs w:val="28"/>
        </w:rPr>
        <w:t>按《环境空气质量标准》（GB 3095-2012）要求开展了二氧化硫（SO</w:t>
      </w:r>
      <w:r>
        <w:rPr>
          <w:rFonts w:ascii="宋体" w:hAnsi="宋体"/>
          <w:color w:val="000000"/>
          <w:kern w:val="0"/>
          <w:sz w:val="28"/>
          <w:szCs w:val="28"/>
          <w:vertAlign w:val="subscript"/>
        </w:rPr>
        <w:t>2</w:t>
      </w:r>
      <w:r>
        <w:rPr>
          <w:rFonts w:ascii="宋体" w:hAnsi="宋体"/>
          <w:color w:val="000000"/>
          <w:kern w:val="0"/>
          <w:sz w:val="28"/>
          <w:szCs w:val="28"/>
        </w:rPr>
        <w:t>）、二氧化氮（NO</w:t>
      </w:r>
      <w:r>
        <w:rPr>
          <w:rFonts w:ascii="宋体" w:hAnsi="宋体"/>
          <w:color w:val="000000"/>
          <w:kern w:val="0"/>
          <w:sz w:val="28"/>
          <w:szCs w:val="28"/>
          <w:vertAlign w:val="subscript"/>
        </w:rPr>
        <w:t>2</w:t>
      </w:r>
      <w:r>
        <w:rPr>
          <w:rFonts w:ascii="宋体" w:hAnsi="宋体"/>
          <w:color w:val="000000"/>
          <w:kern w:val="0"/>
          <w:sz w:val="28"/>
          <w:szCs w:val="28"/>
        </w:rPr>
        <w:t>）、一氧化碳（CO）、臭氧（O</w:t>
      </w:r>
      <w:r>
        <w:rPr>
          <w:rFonts w:ascii="宋体" w:hAnsi="宋体"/>
          <w:color w:val="000000"/>
          <w:kern w:val="0"/>
          <w:sz w:val="28"/>
          <w:szCs w:val="28"/>
          <w:vertAlign w:val="subscript"/>
        </w:rPr>
        <w:t>3</w:t>
      </w:r>
      <w:r>
        <w:rPr>
          <w:rFonts w:ascii="宋体" w:hAnsi="宋体"/>
          <w:color w:val="000000"/>
          <w:kern w:val="0"/>
          <w:sz w:val="28"/>
          <w:szCs w:val="28"/>
        </w:rPr>
        <w:t>）、可吸入颗粒物（PM</w:t>
      </w:r>
      <w:r>
        <w:rPr>
          <w:rFonts w:ascii="宋体" w:hAnsi="宋体"/>
          <w:color w:val="000000"/>
          <w:kern w:val="0"/>
          <w:sz w:val="28"/>
          <w:szCs w:val="28"/>
          <w:vertAlign w:val="subscript"/>
        </w:rPr>
        <w:t>10</w:t>
      </w:r>
      <w:r>
        <w:rPr>
          <w:rFonts w:ascii="宋体" w:hAnsi="宋体"/>
          <w:color w:val="000000"/>
          <w:kern w:val="0"/>
          <w:sz w:val="28"/>
          <w:szCs w:val="28"/>
        </w:rPr>
        <w:t>）和细颗粒物（PM</w:t>
      </w:r>
      <w:r>
        <w:rPr>
          <w:rFonts w:ascii="宋体" w:hAnsi="宋体"/>
          <w:color w:val="000000"/>
          <w:kern w:val="0"/>
          <w:sz w:val="28"/>
          <w:szCs w:val="28"/>
          <w:vertAlign w:val="subscript"/>
        </w:rPr>
        <w:t>2.5</w:t>
      </w:r>
      <w:r>
        <w:rPr>
          <w:rFonts w:ascii="宋体" w:hAnsi="宋体"/>
          <w:color w:val="000000"/>
          <w:kern w:val="0"/>
          <w:sz w:val="28"/>
          <w:szCs w:val="28"/>
        </w:rPr>
        <w:t>）6项指标的环境空气质量监测，依据《城市环境空气质量排名</w:t>
      </w:r>
      <w:r>
        <w:rPr>
          <w:rFonts w:hint="eastAsia" w:ascii="宋体" w:hAnsi="宋体"/>
          <w:color w:val="000000"/>
          <w:kern w:val="0"/>
          <w:sz w:val="28"/>
          <w:szCs w:val="28"/>
        </w:rPr>
        <w:t>技术规定</w:t>
      </w:r>
      <w:r>
        <w:rPr>
          <w:rFonts w:ascii="宋体" w:hAnsi="宋体"/>
          <w:color w:val="000000"/>
          <w:kern w:val="0"/>
          <w:sz w:val="28"/>
          <w:szCs w:val="28"/>
        </w:rPr>
        <w:t>》，按空气质量综合指数（简称综合指数）进行排</w:t>
      </w:r>
      <w:r>
        <w:rPr>
          <w:rFonts w:hint="eastAsia" w:ascii="宋体" w:hAnsi="宋体"/>
          <w:color w:val="000000"/>
          <w:kern w:val="0"/>
          <w:sz w:val="28"/>
          <w:szCs w:val="28"/>
        </w:rPr>
        <w:t>序</w:t>
      </w:r>
      <w:r>
        <w:rPr>
          <w:rFonts w:ascii="宋体" w:hAnsi="宋体"/>
          <w:color w:val="000000"/>
          <w:kern w:val="0"/>
          <w:sz w:val="28"/>
          <w:szCs w:val="28"/>
        </w:rPr>
        <w:t>，</w:t>
      </w:r>
      <w:r>
        <w:rPr>
          <w:rFonts w:hint="eastAsia" w:ascii="宋体" w:hAnsi="宋体"/>
          <w:color w:val="000000"/>
          <w:kern w:val="0"/>
          <w:sz w:val="28"/>
          <w:szCs w:val="28"/>
        </w:rPr>
        <w:t>排名</w:t>
      </w:r>
      <w:r>
        <w:rPr>
          <w:rFonts w:ascii="宋体" w:hAnsi="宋体"/>
          <w:color w:val="000000"/>
          <w:kern w:val="0"/>
          <w:sz w:val="28"/>
          <w:szCs w:val="28"/>
        </w:rPr>
        <w:t>依次为</w:t>
      </w:r>
      <w:r>
        <w:rPr>
          <w:rFonts w:hint="eastAsia" w:ascii="宋体" w:hAnsi="宋体"/>
          <w:color w:val="000000"/>
          <w:kern w:val="0"/>
          <w:sz w:val="28"/>
          <w:szCs w:val="28"/>
        </w:rPr>
        <w:t>铜仁市、都匀市、兴义市、安顺市、凯里市、毕节市、贵阳市、遵义市和六盘水市。</w:t>
      </w:r>
    </w:p>
    <w:p>
      <w:pPr>
        <w:ind w:firstLine="560" w:firstLineChars="200"/>
        <w:jc w:val="left"/>
        <w:rPr>
          <w:rFonts w:ascii="宋体" w:hAnsi="宋体"/>
          <w:color w:val="000000"/>
          <w:kern w:val="0"/>
          <w:sz w:val="28"/>
          <w:szCs w:val="28"/>
        </w:rPr>
      </w:pPr>
      <w:r>
        <w:rPr>
          <w:rFonts w:hint="eastAsia" w:ascii="宋体" w:hAnsi="宋体"/>
          <w:color w:val="000000"/>
          <w:kern w:val="0"/>
          <w:sz w:val="28"/>
          <w:szCs w:val="28"/>
        </w:rPr>
        <w:t>其中，7个城市优良天数比例为100%，分别是铜仁市、都匀市、兴义市、安顺市、凯里市、毕节市和六盘水市；贵阳市和遵义市优良天数比例96.8%。</w:t>
      </w:r>
    </w:p>
    <w:p>
      <w:pPr>
        <w:pStyle w:val="7"/>
        <w:spacing w:before="0" w:beforeAutospacing="0" w:after="0" w:afterAutospacing="0"/>
        <w:ind w:left="720" w:firstLine="1566" w:firstLineChars="650"/>
        <w:contextualSpacing/>
        <w:rPr>
          <w:rFonts w:cs="Times New Roman"/>
          <w:b/>
        </w:rPr>
      </w:pPr>
      <w:r>
        <w:rPr>
          <w:rFonts w:cs="Times New Roman"/>
          <w:b/>
        </w:rPr>
        <w:t>201</w:t>
      </w:r>
      <w:r>
        <w:rPr>
          <w:rFonts w:hint="eastAsia" w:cs="Times New Roman"/>
          <w:b/>
        </w:rPr>
        <w:t>6</w:t>
      </w:r>
      <w:r>
        <w:rPr>
          <w:rFonts w:cs="Times New Roman"/>
          <w:b/>
        </w:rPr>
        <w:t>年</w:t>
      </w:r>
      <w:r>
        <w:rPr>
          <w:rFonts w:hint="eastAsia" w:cs="Times New Roman"/>
          <w:b/>
        </w:rPr>
        <w:t>8</w:t>
      </w:r>
      <w:r>
        <w:rPr>
          <w:rFonts w:cs="Times New Roman"/>
          <w:b/>
        </w:rPr>
        <w:t>月贵州省</w:t>
      </w:r>
      <w:r>
        <w:rPr>
          <w:rFonts w:hint="eastAsia" w:cs="Times New Roman"/>
          <w:b/>
        </w:rPr>
        <w:t>9个中心</w:t>
      </w:r>
      <w:r>
        <w:rPr>
          <w:rFonts w:cs="Times New Roman"/>
          <w:b/>
        </w:rPr>
        <w:t>城市环境空气质量排名</w:t>
      </w:r>
    </w:p>
    <w:tbl>
      <w:tblPr>
        <w:tblStyle w:val="9"/>
        <w:tblW w:w="928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2"/>
        <w:gridCol w:w="1984"/>
        <w:gridCol w:w="2065"/>
        <w:gridCol w:w="3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ascii="宋体" w:hAnsi="宋体"/>
                <w:color w:val="000000"/>
                <w:kern w:val="0"/>
                <w:szCs w:val="21"/>
              </w:rPr>
              <w:t>排名</w:t>
            </w:r>
          </w:p>
        </w:tc>
        <w:tc>
          <w:tcPr>
            <w:tcW w:w="1984" w:type="dxa"/>
            <w:vAlign w:val="center"/>
          </w:tcPr>
          <w:p>
            <w:pPr>
              <w:widowControl/>
              <w:spacing w:line="0" w:lineRule="atLeast"/>
              <w:contextualSpacing/>
              <w:jc w:val="center"/>
              <w:rPr>
                <w:rFonts w:ascii="宋体" w:hAnsi="宋体"/>
                <w:color w:val="000000"/>
                <w:kern w:val="0"/>
                <w:szCs w:val="21"/>
              </w:rPr>
            </w:pPr>
            <w:r>
              <w:rPr>
                <w:rFonts w:ascii="宋体" w:hAnsi="宋体"/>
                <w:color w:val="000000"/>
                <w:kern w:val="0"/>
                <w:szCs w:val="21"/>
              </w:rPr>
              <w:t>城市</w:t>
            </w:r>
          </w:p>
        </w:tc>
        <w:tc>
          <w:tcPr>
            <w:tcW w:w="2065" w:type="dxa"/>
            <w:vAlign w:val="center"/>
          </w:tcPr>
          <w:p>
            <w:pPr>
              <w:widowControl/>
              <w:spacing w:line="0" w:lineRule="atLeast"/>
              <w:contextualSpacing/>
              <w:jc w:val="center"/>
              <w:rPr>
                <w:rFonts w:ascii="宋体" w:hAnsi="宋体"/>
                <w:color w:val="000000"/>
                <w:kern w:val="0"/>
                <w:szCs w:val="21"/>
              </w:rPr>
            </w:pPr>
            <w:r>
              <w:rPr>
                <w:rFonts w:ascii="宋体" w:hAnsi="宋体"/>
                <w:color w:val="000000"/>
                <w:kern w:val="0"/>
                <w:szCs w:val="21"/>
              </w:rPr>
              <w:t>综合指数</w:t>
            </w:r>
          </w:p>
        </w:tc>
        <w:tc>
          <w:tcPr>
            <w:tcW w:w="3945"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首要</w:t>
            </w:r>
            <w:r>
              <w:rPr>
                <w:rFonts w:ascii="宋体" w:hAnsi="宋体"/>
                <w:color w:val="000000"/>
                <w:kern w:val="0"/>
                <w:szCs w:val="21"/>
              </w:rPr>
              <w:t>污染</w:t>
            </w:r>
            <w:r>
              <w:rPr>
                <w:rFonts w:hint="eastAsia" w:ascii="宋体" w:hAnsi="宋体"/>
                <w:color w:val="000000"/>
                <w:kern w:val="0"/>
                <w:szCs w:val="21"/>
              </w:rPr>
              <w:t>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1</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铜仁市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2.23</w:t>
            </w:r>
          </w:p>
        </w:tc>
        <w:tc>
          <w:tcPr>
            <w:tcW w:w="3945" w:type="dxa"/>
            <w:vAlign w:val="center"/>
          </w:tcPr>
          <w:p>
            <w:pPr>
              <w:jc w:val="center"/>
              <w:rPr>
                <w:rFonts w:ascii="宋体" w:hAnsi="宋体" w:cs="宋体"/>
                <w:szCs w:val="21"/>
              </w:rPr>
            </w:pPr>
            <w:r>
              <w:rPr>
                <w:rFonts w:ascii="宋体" w:hAnsi="宋体"/>
                <w:color w:val="000000"/>
                <w:szCs w:val="21"/>
              </w:rPr>
              <w:t>PM</w:t>
            </w:r>
            <w:r>
              <w:rPr>
                <w:rFonts w:hint="eastAsia" w:ascii="宋体" w:hAnsi="宋体"/>
                <w:color w:val="000000"/>
                <w:szCs w:val="21"/>
                <w:vertAlign w:val="subscript"/>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ascii="宋体" w:hAnsi="宋体"/>
                <w:color w:val="000000"/>
                <w:kern w:val="0"/>
                <w:szCs w:val="21"/>
              </w:rPr>
              <w:t>2</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都匀市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2.39</w:t>
            </w:r>
          </w:p>
        </w:tc>
        <w:tc>
          <w:tcPr>
            <w:tcW w:w="3945" w:type="dxa"/>
            <w:vAlign w:val="center"/>
          </w:tcPr>
          <w:p>
            <w:pPr>
              <w:jc w:val="center"/>
              <w:rPr>
                <w:rFonts w:ascii="宋体" w:hAnsi="宋体" w:cs="宋体"/>
                <w:szCs w:val="21"/>
              </w:rPr>
            </w:pPr>
            <w:r>
              <w:rPr>
                <w:rFonts w:hint="eastAsia" w:ascii="宋体" w:hAnsi="宋体"/>
                <w:color w:val="000000"/>
                <w:szCs w:val="21"/>
              </w:rPr>
              <w:t>O</w:t>
            </w:r>
            <w:r>
              <w:rPr>
                <w:rFonts w:hint="eastAsia" w:ascii="宋体" w:hAnsi="宋体"/>
                <w:color w:val="000000"/>
                <w:szCs w:val="21"/>
                <w:vertAlign w:val="sub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3</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兴义市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2.60</w:t>
            </w:r>
          </w:p>
        </w:tc>
        <w:tc>
          <w:tcPr>
            <w:tcW w:w="3945" w:type="dxa"/>
            <w:vAlign w:val="center"/>
          </w:tcPr>
          <w:p>
            <w:pPr>
              <w:jc w:val="center"/>
              <w:rPr>
                <w:rFonts w:ascii="宋体" w:hAnsi="宋体"/>
                <w:color w:val="000000"/>
                <w:szCs w:val="21"/>
              </w:rPr>
            </w:pPr>
            <w:r>
              <w:rPr>
                <w:rFonts w:hint="eastAsia" w:ascii="宋体" w:hAnsi="宋体"/>
                <w:color w:val="000000"/>
                <w:szCs w:val="21"/>
              </w:rPr>
              <w:t>O</w:t>
            </w:r>
            <w:r>
              <w:rPr>
                <w:rFonts w:hint="eastAsia" w:ascii="宋体" w:hAnsi="宋体"/>
                <w:color w:val="000000"/>
                <w:szCs w:val="21"/>
                <w:vertAlign w:val="sub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4</w:t>
            </w:r>
          </w:p>
        </w:tc>
        <w:tc>
          <w:tcPr>
            <w:tcW w:w="1984" w:type="dxa"/>
            <w:vAlign w:val="center"/>
          </w:tcPr>
          <w:p>
            <w:pPr>
              <w:widowControl/>
              <w:spacing w:line="0" w:lineRule="atLeast"/>
              <w:contextualSpacing/>
              <w:jc w:val="center"/>
              <w:rPr>
                <w:rFonts w:ascii="宋体" w:hAnsi="宋体"/>
                <w:color w:val="000000"/>
                <w:kern w:val="0"/>
                <w:szCs w:val="21"/>
              </w:rPr>
            </w:pPr>
            <w:r>
              <w:rPr>
                <w:rFonts w:hint="eastAsia" w:ascii="宋体" w:hAnsi="宋体" w:cs="宋体"/>
                <w:kern w:val="0"/>
                <w:szCs w:val="21"/>
              </w:rPr>
              <w:t>安顺市</w:t>
            </w:r>
          </w:p>
        </w:tc>
        <w:tc>
          <w:tcPr>
            <w:tcW w:w="2065"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2.65</w:t>
            </w:r>
          </w:p>
        </w:tc>
        <w:tc>
          <w:tcPr>
            <w:tcW w:w="3945"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szCs w:val="21"/>
              </w:rPr>
              <w:t>O</w:t>
            </w:r>
            <w:r>
              <w:rPr>
                <w:rFonts w:hint="eastAsia" w:ascii="宋体" w:hAnsi="宋体"/>
                <w:color w:val="000000"/>
                <w:szCs w:val="21"/>
                <w:vertAlign w:val="sub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s="宋体"/>
                <w:kern w:val="0"/>
                <w:szCs w:val="21"/>
              </w:rPr>
              <w:t>5</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凯里市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2.78</w:t>
            </w:r>
          </w:p>
        </w:tc>
        <w:tc>
          <w:tcPr>
            <w:tcW w:w="3945" w:type="dxa"/>
            <w:vAlign w:val="center"/>
          </w:tcPr>
          <w:p>
            <w:pPr>
              <w:jc w:val="center"/>
              <w:rPr>
                <w:rFonts w:ascii="宋体" w:hAnsi="宋体"/>
                <w:color w:val="000000"/>
                <w:szCs w:val="21"/>
              </w:rPr>
            </w:pPr>
            <w:r>
              <w:rPr>
                <w:rFonts w:hint="eastAsia" w:ascii="宋体" w:hAnsi="宋体"/>
                <w:color w:val="000000"/>
                <w:szCs w:val="21"/>
              </w:rPr>
              <w:t>O</w:t>
            </w:r>
            <w:r>
              <w:rPr>
                <w:rFonts w:hint="eastAsia" w:ascii="宋体" w:hAnsi="宋体"/>
                <w:color w:val="000000"/>
                <w:szCs w:val="21"/>
                <w:vertAlign w:val="sub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6</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毕节市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3.01</w:t>
            </w:r>
          </w:p>
        </w:tc>
        <w:tc>
          <w:tcPr>
            <w:tcW w:w="3945" w:type="dxa"/>
            <w:vAlign w:val="center"/>
          </w:tcPr>
          <w:p>
            <w:pPr>
              <w:jc w:val="center"/>
              <w:rPr>
                <w:rFonts w:ascii="宋体" w:hAnsi="宋体"/>
                <w:color w:val="000000"/>
                <w:szCs w:val="21"/>
              </w:rPr>
            </w:pPr>
            <w:r>
              <w:rPr>
                <w:rFonts w:hint="eastAsia" w:ascii="宋体" w:hAnsi="宋体"/>
                <w:color w:val="000000"/>
                <w:szCs w:val="21"/>
              </w:rPr>
              <w:t>O</w:t>
            </w:r>
            <w:r>
              <w:rPr>
                <w:rFonts w:hint="eastAsia" w:ascii="宋体" w:hAnsi="宋体"/>
                <w:color w:val="000000"/>
                <w:szCs w:val="21"/>
                <w:vertAlign w:val="sub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7</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贵阳市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3.47</w:t>
            </w:r>
          </w:p>
        </w:tc>
        <w:tc>
          <w:tcPr>
            <w:tcW w:w="3945" w:type="dxa"/>
            <w:vAlign w:val="center"/>
          </w:tcPr>
          <w:p>
            <w:pPr>
              <w:jc w:val="center"/>
              <w:rPr>
                <w:rFonts w:ascii="宋体" w:hAnsi="宋体" w:cs="宋体"/>
                <w:szCs w:val="21"/>
              </w:rPr>
            </w:pPr>
            <w:r>
              <w:rPr>
                <w:rFonts w:hint="eastAsia" w:ascii="宋体" w:hAnsi="宋体"/>
                <w:color w:val="000000"/>
                <w:szCs w:val="21"/>
              </w:rPr>
              <w:t>O</w:t>
            </w:r>
            <w:r>
              <w:rPr>
                <w:rFonts w:hint="eastAsia" w:ascii="宋体" w:hAnsi="宋体"/>
                <w:color w:val="000000"/>
                <w:szCs w:val="21"/>
                <w:vertAlign w:val="sub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olor w:val="000000"/>
                <w:kern w:val="0"/>
                <w:szCs w:val="21"/>
              </w:rPr>
              <w:t>8</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遵义市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3.53</w:t>
            </w:r>
          </w:p>
        </w:tc>
        <w:tc>
          <w:tcPr>
            <w:tcW w:w="3945" w:type="dxa"/>
            <w:vAlign w:val="center"/>
          </w:tcPr>
          <w:p>
            <w:pPr>
              <w:jc w:val="center"/>
              <w:rPr>
                <w:rFonts w:ascii="宋体" w:hAnsi="宋体" w:cs="宋体"/>
                <w:szCs w:val="21"/>
              </w:rPr>
            </w:pPr>
            <w:r>
              <w:rPr>
                <w:rFonts w:ascii="宋体" w:hAnsi="宋体"/>
                <w:color w:val="000000"/>
                <w:szCs w:val="21"/>
              </w:rPr>
              <w:t>PM</w:t>
            </w:r>
            <w:r>
              <w:rPr>
                <w:rFonts w:hint="eastAsia" w:ascii="宋体" w:hAnsi="宋体"/>
                <w:color w:val="000000"/>
                <w:szCs w:val="21"/>
                <w:vertAlign w:val="subscript"/>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292" w:type="dxa"/>
            <w:vAlign w:val="center"/>
          </w:tcPr>
          <w:p>
            <w:pPr>
              <w:widowControl/>
              <w:spacing w:line="0" w:lineRule="atLeast"/>
              <w:contextualSpacing/>
              <w:jc w:val="center"/>
              <w:rPr>
                <w:rFonts w:ascii="宋体" w:hAnsi="宋体"/>
                <w:color w:val="000000"/>
                <w:kern w:val="0"/>
                <w:szCs w:val="21"/>
              </w:rPr>
            </w:pPr>
            <w:r>
              <w:rPr>
                <w:rFonts w:hint="eastAsia" w:ascii="宋体" w:hAnsi="宋体" w:cs="宋体"/>
                <w:kern w:val="0"/>
                <w:szCs w:val="21"/>
              </w:rPr>
              <w:t>9</w:t>
            </w:r>
          </w:p>
        </w:tc>
        <w:tc>
          <w:tcPr>
            <w:tcW w:w="1984" w:type="dxa"/>
            <w:vAlign w:val="center"/>
          </w:tcPr>
          <w:p>
            <w:pPr>
              <w:widowControl/>
              <w:jc w:val="center"/>
              <w:rPr>
                <w:rFonts w:ascii="宋体" w:hAnsi="宋体" w:cs="宋体"/>
                <w:kern w:val="0"/>
                <w:szCs w:val="21"/>
              </w:rPr>
            </w:pPr>
            <w:r>
              <w:rPr>
                <w:rFonts w:hint="eastAsia" w:ascii="宋体" w:hAnsi="宋体" w:cs="宋体"/>
                <w:kern w:val="0"/>
                <w:szCs w:val="21"/>
              </w:rPr>
              <w:t>六盘水市</w:t>
            </w:r>
          </w:p>
        </w:tc>
        <w:tc>
          <w:tcPr>
            <w:tcW w:w="2065" w:type="dxa"/>
            <w:vAlign w:val="center"/>
          </w:tcPr>
          <w:p>
            <w:pPr>
              <w:widowControl/>
              <w:jc w:val="center"/>
              <w:rPr>
                <w:rFonts w:ascii="宋体" w:hAnsi="宋体" w:cs="宋体"/>
                <w:kern w:val="0"/>
                <w:szCs w:val="21"/>
              </w:rPr>
            </w:pPr>
            <w:r>
              <w:rPr>
                <w:rFonts w:hint="eastAsia" w:ascii="宋体" w:hAnsi="宋体" w:cs="宋体"/>
                <w:kern w:val="0"/>
                <w:szCs w:val="21"/>
              </w:rPr>
              <w:t>3.68</w:t>
            </w:r>
          </w:p>
        </w:tc>
        <w:tc>
          <w:tcPr>
            <w:tcW w:w="3945" w:type="dxa"/>
            <w:vAlign w:val="center"/>
          </w:tcPr>
          <w:p>
            <w:pPr>
              <w:jc w:val="center"/>
              <w:rPr>
                <w:rFonts w:ascii="宋体" w:hAnsi="宋体" w:cs="宋体"/>
                <w:szCs w:val="21"/>
              </w:rPr>
            </w:pPr>
            <w:r>
              <w:rPr>
                <w:rFonts w:ascii="宋体" w:hAnsi="宋体"/>
                <w:color w:val="000000"/>
                <w:szCs w:val="21"/>
              </w:rPr>
              <w:t>PM</w:t>
            </w:r>
            <w:r>
              <w:rPr>
                <w:rFonts w:hint="eastAsia" w:ascii="宋体" w:hAnsi="宋体"/>
                <w:color w:val="000000"/>
                <w:szCs w:val="21"/>
                <w:vertAlign w:val="subscript"/>
              </w:rPr>
              <w:t>2.5</w:t>
            </w:r>
          </w:p>
        </w:tc>
      </w:tr>
    </w:tbl>
    <w:p>
      <w:pPr>
        <w:ind w:left="720"/>
      </w:pPr>
    </w:p>
    <w:p>
      <w:pPr>
        <w:pStyle w:val="7"/>
        <w:spacing w:before="0" w:beforeAutospacing="0" w:after="0" w:afterAutospacing="0"/>
        <w:ind w:firstLine="552"/>
        <w:rPr>
          <w:rFonts w:cs="Times New Roman"/>
          <w:color w:val="000000" w:themeColor="text1"/>
          <w:sz w:val="28"/>
          <w:szCs w:val="28"/>
        </w:rPr>
      </w:pPr>
      <w:r>
        <w:rPr>
          <w:rFonts w:hint="eastAsia" w:cs="Times New Roman"/>
          <w:color w:val="000000" w:themeColor="text1"/>
          <w:sz w:val="28"/>
          <w:szCs w:val="28"/>
        </w:rPr>
        <w:t>2016年8月全省</w:t>
      </w:r>
      <w:r>
        <w:rPr>
          <w:rFonts w:hint="eastAsia"/>
          <w:color w:val="000000" w:themeColor="text1"/>
          <w:sz w:val="28"/>
          <w:szCs w:val="28"/>
        </w:rPr>
        <w:t>9个中心城市</w:t>
      </w:r>
      <w:r>
        <w:rPr>
          <w:rFonts w:hint="eastAsia" w:cs="Times New Roman"/>
          <w:color w:val="000000" w:themeColor="text1"/>
          <w:sz w:val="28"/>
          <w:szCs w:val="28"/>
        </w:rPr>
        <w:t>空气指标二氧化硫（SO</w:t>
      </w:r>
      <w:r>
        <w:rPr>
          <w:rFonts w:hint="eastAsia" w:cs="Times New Roman"/>
          <w:color w:val="000000" w:themeColor="text1"/>
          <w:sz w:val="28"/>
          <w:szCs w:val="28"/>
          <w:vertAlign w:val="subscript"/>
        </w:rPr>
        <w:t>2</w:t>
      </w:r>
      <w:r>
        <w:rPr>
          <w:rFonts w:hint="eastAsia" w:cs="Times New Roman"/>
          <w:color w:val="000000" w:themeColor="text1"/>
          <w:sz w:val="28"/>
          <w:szCs w:val="28"/>
        </w:rPr>
        <w:t>）和可吸入颗粒物（PM</w:t>
      </w:r>
      <w:r>
        <w:rPr>
          <w:rFonts w:hint="eastAsia" w:cs="Times New Roman"/>
          <w:color w:val="000000" w:themeColor="text1"/>
          <w:sz w:val="28"/>
          <w:szCs w:val="28"/>
          <w:vertAlign w:val="subscript"/>
        </w:rPr>
        <w:t>10</w:t>
      </w:r>
      <w:r>
        <w:rPr>
          <w:rFonts w:hint="eastAsia" w:cs="Times New Roman"/>
          <w:color w:val="000000" w:themeColor="text1"/>
          <w:sz w:val="28"/>
          <w:szCs w:val="28"/>
        </w:rPr>
        <w:t>）月均值浓度与去年同期相比有不同程度下降，二氧化氮（NO</w:t>
      </w:r>
      <w:r>
        <w:rPr>
          <w:rFonts w:hint="eastAsia" w:cs="Times New Roman"/>
          <w:color w:val="000000" w:themeColor="text1"/>
          <w:sz w:val="28"/>
          <w:szCs w:val="28"/>
          <w:vertAlign w:val="subscript"/>
        </w:rPr>
        <w:t>2</w:t>
      </w:r>
      <w:r>
        <w:rPr>
          <w:rFonts w:hint="eastAsia" w:cs="Times New Roman"/>
          <w:color w:val="000000" w:themeColor="text1"/>
          <w:sz w:val="28"/>
          <w:szCs w:val="28"/>
        </w:rPr>
        <w:t>）月均值浓度与去年同期持平，细颗粒物（PM</w:t>
      </w:r>
      <w:r>
        <w:rPr>
          <w:rFonts w:hint="eastAsia" w:cs="Times New Roman"/>
          <w:color w:val="000000" w:themeColor="text1"/>
          <w:sz w:val="28"/>
          <w:szCs w:val="28"/>
          <w:vertAlign w:val="subscript"/>
        </w:rPr>
        <w:t>2.5</w:t>
      </w:r>
      <w:r>
        <w:rPr>
          <w:rFonts w:hint="eastAsia" w:cs="Times New Roman"/>
          <w:color w:val="000000" w:themeColor="text1"/>
          <w:sz w:val="28"/>
          <w:szCs w:val="28"/>
        </w:rPr>
        <w:t>）、一氧化碳（CO）和臭氧八小时（O</w:t>
      </w:r>
      <w:r>
        <w:rPr>
          <w:rFonts w:hint="eastAsia" w:cs="Times New Roman"/>
          <w:color w:val="000000" w:themeColor="text1"/>
          <w:sz w:val="28"/>
          <w:szCs w:val="28"/>
          <w:vertAlign w:val="subscript"/>
        </w:rPr>
        <w:t>3</w:t>
      </w:r>
      <w:r>
        <w:rPr>
          <w:rFonts w:hint="eastAsia" w:cs="Times New Roman"/>
          <w:color w:val="000000" w:themeColor="text1"/>
          <w:sz w:val="28"/>
          <w:szCs w:val="28"/>
        </w:rPr>
        <w:t>）月均值浓度与去年同期相比有小幅上升。</w:t>
      </w:r>
    </w:p>
    <w:p>
      <w:pPr>
        <w:jc w:val="center"/>
        <w:rPr>
          <w:rFonts w:ascii="Times New Roman" w:hAnsi="Times New Roman"/>
          <w:b/>
          <w:sz w:val="24"/>
        </w:rPr>
      </w:pPr>
    </w:p>
    <w:p>
      <w:pPr>
        <w:jc w:val="center"/>
        <w:rPr>
          <w:rFonts w:ascii="Times New Roman" w:hAnsi="Times New Roman"/>
          <w:sz w:val="28"/>
          <w:szCs w:val="28"/>
        </w:rPr>
      </w:pPr>
      <w:r>
        <w:rPr>
          <w:rFonts w:ascii="Times New Roman" w:hAnsi="Times New Roman"/>
          <w:b/>
          <w:sz w:val="24"/>
        </w:rPr>
        <w:t>201</w:t>
      </w:r>
      <w:r>
        <w:rPr>
          <w:rFonts w:hint="eastAsia" w:ascii="Times New Roman" w:hAnsi="Times New Roman"/>
          <w:b/>
          <w:sz w:val="24"/>
        </w:rPr>
        <w:t>6</w:t>
      </w:r>
      <w:r>
        <w:rPr>
          <w:rFonts w:hint="eastAsia" w:ascii="Times New Roman" w:hAnsi="宋体"/>
          <w:b/>
          <w:sz w:val="24"/>
        </w:rPr>
        <w:t>年</w:t>
      </w:r>
      <w:r>
        <w:rPr>
          <w:rFonts w:hint="eastAsia" w:ascii="Times New Roman" w:hAnsi="Times New Roman"/>
          <w:b/>
          <w:sz w:val="24"/>
        </w:rPr>
        <w:t>8</w:t>
      </w:r>
      <w:r>
        <w:rPr>
          <w:rFonts w:hint="eastAsia" w:ascii="Times New Roman" w:hAnsi="宋体"/>
          <w:b/>
          <w:sz w:val="24"/>
        </w:rPr>
        <w:t>月贵州省城市环境空气各指标监测结果</w:t>
      </w:r>
    </w:p>
    <w:p>
      <w:pPr>
        <w:ind w:firstLine="630" w:firstLineChars="300"/>
        <w:jc w:val="right"/>
        <w:rPr>
          <w:rFonts w:ascii="Times New Roman" w:hAnsi="宋体"/>
        </w:rPr>
      </w:pPr>
      <w:r>
        <w:rPr>
          <w:rFonts w:ascii="Times New Roman" w:hAnsi="Times New Roman"/>
        </w:rPr>
        <w:t xml:space="preserve">                                                         </w:t>
      </w:r>
      <w:r>
        <w:rPr>
          <w:rFonts w:hint="eastAsia" w:ascii="Times New Roman" w:hAnsi="Times New Roman"/>
        </w:rPr>
        <w:t xml:space="preserve">                                    </w:t>
      </w:r>
      <w:r>
        <w:rPr>
          <w:rFonts w:hint="eastAsia" w:ascii="Times New Roman" w:hAnsi="宋体"/>
        </w:rPr>
        <w:t>单位：微克</w:t>
      </w:r>
      <w:r>
        <w:rPr>
          <w:rFonts w:ascii="Times New Roman" w:hAnsi="Times New Roman"/>
        </w:rPr>
        <w:t>/</w:t>
      </w:r>
      <w:r>
        <w:rPr>
          <w:rFonts w:hint="eastAsia" w:ascii="Times New Roman" w:hAnsi="宋体"/>
        </w:rPr>
        <w:t>立方米</w:t>
      </w:r>
    </w:p>
    <w:tbl>
      <w:tblPr>
        <w:tblStyle w:val="9"/>
        <w:tblW w:w="9782" w:type="dxa"/>
        <w:tblInd w:w="-4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708"/>
        <w:gridCol w:w="709"/>
        <w:gridCol w:w="709"/>
        <w:gridCol w:w="709"/>
        <w:gridCol w:w="708"/>
        <w:gridCol w:w="709"/>
        <w:gridCol w:w="709"/>
        <w:gridCol w:w="709"/>
        <w:gridCol w:w="709"/>
        <w:gridCol w:w="709"/>
        <w:gridCol w:w="709"/>
        <w:gridCol w:w="7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88" w:hRule="atLeast"/>
        </w:trPr>
        <w:tc>
          <w:tcPr>
            <w:tcW w:w="1276" w:type="dxa"/>
            <w:vMerge w:val="restart"/>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城市名称</w:t>
            </w:r>
          </w:p>
        </w:tc>
        <w:tc>
          <w:tcPr>
            <w:tcW w:w="1417" w:type="dxa"/>
            <w:gridSpan w:val="2"/>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二氧化硫</w:t>
            </w:r>
          </w:p>
        </w:tc>
        <w:tc>
          <w:tcPr>
            <w:tcW w:w="1418" w:type="dxa"/>
            <w:gridSpan w:val="2"/>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二氧化氮</w:t>
            </w:r>
          </w:p>
        </w:tc>
        <w:tc>
          <w:tcPr>
            <w:tcW w:w="1417" w:type="dxa"/>
            <w:gridSpan w:val="2"/>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可吸入颗粒物</w:t>
            </w:r>
          </w:p>
        </w:tc>
        <w:tc>
          <w:tcPr>
            <w:tcW w:w="1418" w:type="dxa"/>
            <w:gridSpan w:val="2"/>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细颗粒物</w:t>
            </w:r>
          </w:p>
        </w:tc>
        <w:tc>
          <w:tcPr>
            <w:tcW w:w="1418" w:type="dxa"/>
            <w:gridSpan w:val="2"/>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一氧化碳</w:t>
            </w:r>
          </w:p>
        </w:tc>
        <w:tc>
          <w:tcPr>
            <w:tcW w:w="1418" w:type="dxa"/>
            <w:gridSpan w:val="2"/>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臭氧八小时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88" w:hRule="atLeast"/>
        </w:trPr>
        <w:tc>
          <w:tcPr>
            <w:tcW w:w="1276" w:type="dxa"/>
            <w:vMerge w:val="continue"/>
            <w:tcMar>
              <w:left w:w="0" w:type="dxa"/>
              <w:right w:w="0" w:type="dxa"/>
            </w:tcMar>
            <w:vAlign w:val="center"/>
          </w:tcPr>
          <w:p>
            <w:pPr>
              <w:widowControl/>
              <w:jc w:val="center"/>
              <w:rPr>
                <w:rFonts w:ascii="宋体" w:hAnsi="宋体" w:cs="宋体"/>
                <w:kern w:val="0"/>
                <w:szCs w:val="21"/>
              </w:rPr>
            </w:pPr>
          </w:p>
        </w:tc>
        <w:tc>
          <w:tcPr>
            <w:tcW w:w="708"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2016年8月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2015年8月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2016年8月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2015年8月</w:t>
            </w:r>
          </w:p>
        </w:tc>
        <w:tc>
          <w:tcPr>
            <w:tcW w:w="708"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2016年8月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2015年8月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2016年8月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2015年8月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2016年8月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2015年8月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2016年8月</w:t>
            </w:r>
          </w:p>
        </w:tc>
        <w:tc>
          <w:tcPr>
            <w:tcW w:w="709" w:type="dxa"/>
            <w:shd w:val="clear" w:color="auto" w:fill="auto"/>
            <w:tcMar>
              <w:left w:w="0" w:type="dxa"/>
              <w:right w:w="0" w:type="dxa"/>
            </w:tcMar>
            <w:vAlign w:val="center"/>
          </w:tcPr>
          <w:p>
            <w:pPr>
              <w:widowControl/>
              <w:jc w:val="center"/>
              <w:rPr>
                <w:rFonts w:ascii="宋体" w:hAnsi="宋体" w:cs="宋体"/>
                <w:kern w:val="0"/>
                <w:szCs w:val="21"/>
              </w:rPr>
            </w:pPr>
            <w:r>
              <w:rPr>
                <w:rFonts w:hint="eastAsia" w:ascii="宋体" w:hAnsi="宋体" w:cs="宋体"/>
                <w:kern w:val="0"/>
                <w:szCs w:val="21"/>
              </w:rPr>
              <w:t>2015年8月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贵阳市</w:t>
            </w:r>
          </w:p>
        </w:tc>
        <w:tc>
          <w:tcPr>
            <w:tcW w:w="708"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6</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8</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27</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27</w:t>
            </w:r>
          </w:p>
        </w:tc>
        <w:tc>
          <w:tcPr>
            <w:tcW w:w="708"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54</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46</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30</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27</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0.8</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0.8</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138</w:t>
            </w:r>
          </w:p>
        </w:tc>
        <w:tc>
          <w:tcPr>
            <w:tcW w:w="709" w:type="dxa"/>
            <w:tcBorders>
              <w:top w:val="single" w:color="000000" w:sz="4" w:space="0"/>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六盘水市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27</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56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56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29</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118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遵义市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5</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26</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57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56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31</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120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安顺市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31</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47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25</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毕节市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21</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117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铜仁市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16</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39</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31</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70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兴义市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15</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15</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31</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47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19</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凯里市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18</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41</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37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0.7</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114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hint="eastAsia"/>
                <w:color w:val="000000"/>
                <w:sz w:val="22"/>
              </w:rPr>
              <w:t>都匀市</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13</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42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46</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24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0.5</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104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szCs w:val="21"/>
              </w:rPr>
            </w:pPr>
            <w:r>
              <w:rPr>
                <w:rFonts w:hint="eastAsia" w:ascii="仿宋" w:hAnsi="仿宋" w:eastAsia="仿宋"/>
                <w:szCs w:val="21"/>
              </w:rPr>
              <w:t>117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8" w:hRule="atLeast"/>
        </w:trPr>
        <w:tc>
          <w:tcPr>
            <w:tcW w:w="1276" w:type="dxa"/>
            <w:tcBorders>
              <w:top w:val="nil"/>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sz w:val="22"/>
              </w:rPr>
            </w:pPr>
            <w:r>
              <w:rPr>
                <w:rFonts w:ascii="宋体" w:hAnsi="宋体" w:cs="宋体"/>
                <w:color w:val="000000"/>
                <w:sz w:val="22"/>
              </w:rPr>
              <w:t>全省平均</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12</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13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20</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20</w:t>
            </w:r>
          </w:p>
        </w:tc>
        <w:tc>
          <w:tcPr>
            <w:tcW w:w="708"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43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45</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24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23</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0.9</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0.8</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114</w:t>
            </w:r>
          </w:p>
        </w:tc>
        <w:tc>
          <w:tcPr>
            <w:tcW w:w="709" w:type="dxa"/>
            <w:tcBorders>
              <w:top w:val="nil"/>
              <w:left w:val="nil"/>
              <w:bottom w:val="single" w:color="000000" w:sz="4" w:space="0"/>
              <w:right w:val="single" w:color="000000" w:sz="4" w:space="0"/>
            </w:tcBorders>
            <w:shd w:val="clear" w:color="auto" w:fill="auto"/>
            <w:vAlign w:val="center"/>
          </w:tcPr>
          <w:p>
            <w:pPr>
              <w:jc w:val="center"/>
              <w:rPr>
                <w:rFonts w:ascii="仿宋" w:hAnsi="仿宋" w:eastAsia="仿宋" w:cs="宋体"/>
                <w:color w:val="000000"/>
                <w:szCs w:val="21"/>
              </w:rPr>
            </w:pPr>
            <w:r>
              <w:rPr>
                <w:rFonts w:hint="eastAsia" w:ascii="仿宋" w:hAnsi="仿宋" w:eastAsia="仿宋"/>
                <w:color w:val="000000"/>
                <w:szCs w:val="21"/>
              </w:rPr>
              <w:t>112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88" w:hRule="atLeast"/>
        </w:trPr>
        <w:tc>
          <w:tcPr>
            <w:tcW w:w="1276" w:type="dxa"/>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日均值二级</w:t>
            </w:r>
          </w:p>
          <w:p>
            <w:pPr>
              <w:widowControl/>
              <w:jc w:val="center"/>
              <w:rPr>
                <w:rFonts w:ascii="宋体" w:hAnsi="宋体" w:cs="宋体"/>
                <w:color w:val="000000"/>
                <w:kern w:val="0"/>
                <w:szCs w:val="21"/>
              </w:rPr>
            </w:pPr>
            <w:r>
              <w:rPr>
                <w:rFonts w:hint="eastAsia" w:ascii="宋体" w:hAnsi="宋体" w:cs="宋体"/>
                <w:color w:val="000000"/>
                <w:kern w:val="0"/>
                <w:szCs w:val="21"/>
              </w:rPr>
              <w:t>新标准限值</w:t>
            </w:r>
          </w:p>
        </w:tc>
        <w:tc>
          <w:tcPr>
            <w:tcW w:w="1417"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150</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80</w:t>
            </w:r>
          </w:p>
        </w:tc>
        <w:tc>
          <w:tcPr>
            <w:tcW w:w="1417"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150</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75</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88" w:hRule="atLeast"/>
        </w:trPr>
        <w:tc>
          <w:tcPr>
            <w:tcW w:w="1276" w:type="dxa"/>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年均值二级</w:t>
            </w:r>
          </w:p>
          <w:p>
            <w:pPr>
              <w:widowControl/>
              <w:jc w:val="center"/>
              <w:rPr>
                <w:rFonts w:ascii="宋体" w:hAnsi="宋体" w:cs="宋体"/>
                <w:color w:val="000000"/>
                <w:kern w:val="0"/>
                <w:szCs w:val="21"/>
              </w:rPr>
            </w:pPr>
            <w:r>
              <w:rPr>
                <w:rFonts w:hint="eastAsia" w:ascii="宋体" w:hAnsi="宋体" w:cs="宋体"/>
                <w:color w:val="000000"/>
                <w:kern w:val="0"/>
                <w:szCs w:val="21"/>
              </w:rPr>
              <w:t>新标准限值</w:t>
            </w:r>
          </w:p>
        </w:tc>
        <w:tc>
          <w:tcPr>
            <w:tcW w:w="1417"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60</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40</w:t>
            </w:r>
          </w:p>
        </w:tc>
        <w:tc>
          <w:tcPr>
            <w:tcW w:w="1417"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70</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35</w:t>
            </w: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p>
        </w:tc>
        <w:tc>
          <w:tcPr>
            <w:tcW w:w="1418" w:type="dxa"/>
            <w:gridSpan w:val="2"/>
            <w:shd w:val="clear" w:color="auto" w:fill="auto"/>
            <w:tcMar>
              <w:left w:w="0" w:type="dxa"/>
              <w:right w:w="0" w:type="dxa"/>
            </w:tcMar>
            <w:vAlign w:val="center"/>
          </w:tcPr>
          <w:p>
            <w:pPr>
              <w:widowControl/>
              <w:jc w:val="center"/>
              <w:rPr>
                <w:rFonts w:ascii="宋体" w:hAnsi="宋体" w:cs="宋体"/>
                <w:color w:val="000000"/>
                <w:kern w:val="0"/>
                <w:szCs w:val="21"/>
              </w:rPr>
            </w:pPr>
          </w:p>
        </w:tc>
      </w:tr>
    </w:tbl>
    <w:p>
      <w:pPr>
        <w:rPr>
          <w:rFonts w:ascii="宋体" w:hAnsi="宋体" w:cs="宋体"/>
          <w:color w:val="000000"/>
          <w:kern w:val="0"/>
          <w:szCs w:val="21"/>
        </w:rPr>
      </w:pPr>
      <w:r>
        <w:rPr>
          <w:rFonts w:hint="eastAsia" w:ascii="Times New Roman" w:hAnsi="宋体"/>
          <w:szCs w:val="21"/>
        </w:rPr>
        <w:t>注1、一氧化碳指标浓度为一氧化碳日均值第95百分位数，臭氧指标浓度为</w:t>
      </w:r>
      <w:r>
        <w:rPr>
          <w:rFonts w:hint="eastAsia" w:ascii="宋体" w:hAnsi="宋体" w:cs="宋体"/>
          <w:color w:val="000000"/>
          <w:kern w:val="0"/>
          <w:szCs w:val="21"/>
        </w:rPr>
        <w:t>臭氧日最大8小时值第90百分位数。</w:t>
      </w:r>
    </w:p>
    <w:p>
      <w:pPr>
        <w:rPr>
          <w:rFonts w:ascii="Times New Roman" w:hAnsi="宋体"/>
          <w:szCs w:val="21"/>
        </w:rPr>
      </w:pPr>
      <w:r>
        <w:rPr>
          <w:rFonts w:hint="eastAsia" w:ascii="宋体" w:hAnsi="宋体" w:cs="宋体"/>
          <w:color w:val="000000"/>
          <w:kern w:val="0"/>
          <w:szCs w:val="21"/>
        </w:rPr>
        <w:t>2、</w:t>
      </w:r>
      <w:r>
        <w:rPr>
          <w:rFonts w:hint="eastAsia" w:ascii="Times New Roman" w:hAnsi="宋体"/>
          <w:szCs w:val="21"/>
        </w:rPr>
        <w:t>一氧化碳指标单位为毫克</w:t>
      </w:r>
      <w:r>
        <w:rPr>
          <w:rFonts w:ascii="Times New Roman" w:hAnsi="Times New Roman"/>
        </w:rPr>
        <w:t>/</w:t>
      </w:r>
      <w:r>
        <w:rPr>
          <w:rFonts w:hint="eastAsia" w:ascii="Times New Roman" w:hAnsi="宋体"/>
          <w:szCs w:val="21"/>
        </w:rPr>
        <w:t>立方米。</w:t>
      </w:r>
    </w:p>
    <w:p>
      <w:pPr>
        <w:rPr>
          <w:rFonts w:ascii="Times New Roman" w:hAnsi="宋体"/>
          <w:szCs w:val="21"/>
        </w:rPr>
      </w:pPr>
      <w:r>
        <w:rPr>
          <w:rFonts w:hint="eastAsia" w:ascii="Times New Roman" w:hAnsi="宋体"/>
          <w:szCs w:val="21"/>
        </w:rPr>
        <w:t>3、环境空气质量标准中无月均浓度限值，日均值和年均值二级标准限值仅供参考。</w:t>
      </w:r>
    </w:p>
    <w:p>
      <w:pPr>
        <w:rPr>
          <w:rFonts w:ascii="Times New Roman" w:hAnsi="宋体"/>
          <w:szCs w:val="21"/>
        </w:rPr>
      </w:pPr>
    </w:p>
    <w:p>
      <w:pPr>
        <w:ind w:firstLine="555"/>
        <w:rPr>
          <w:rFonts w:ascii="Times New Roman" w:hAnsi="宋体"/>
          <w:color w:val="000000"/>
          <w:sz w:val="28"/>
          <w:szCs w:val="28"/>
        </w:rPr>
      </w:pPr>
      <w:r>
        <w:rPr>
          <w:rFonts w:hint="eastAsia" w:ascii="宋体" w:hAnsi="宋体"/>
          <w:color w:val="000000"/>
          <w:kern w:val="0"/>
          <w:sz w:val="28"/>
          <w:szCs w:val="28"/>
        </w:rPr>
        <w:t>全省9个中心城市8月</w:t>
      </w:r>
      <w:r>
        <w:rPr>
          <w:rFonts w:hint="eastAsia" w:ascii="宋体" w:hAnsi="宋体"/>
          <w:color w:val="000000"/>
          <w:sz w:val="28"/>
          <w:szCs w:val="28"/>
        </w:rPr>
        <w:t>二氧化硫月均浓度值范围为5</w:t>
      </w:r>
      <w:r>
        <w:rPr>
          <w:rFonts w:ascii="宋体" w:hAnsi="宋体"/>
          <w:color w:val="000000"/>
          <w:sz w:val="28"/>
          <w:szCs w:val="28"/>
        </w:rPr>
        <w:t>-</w:t>
      </w:r>
      <w:r>
        <w:rPr>
          <w:rFonts w:hint="eastAsia" w:ascii="宋体" w:hAnsi="宋体"/>
          <w:color w:val="000000"/>
          <w:sz w:val="28"/>
          <w:szCs w:val="28"/>
        </w:rPr>
        <w:t>23微克</w:t>
      </w:r>
      <w:r>
        <w:rPr>
          <w:rFonts w:ascii="宋体" w:hAnsi="宋体"/>
          <w:color w:val="000000"/>
          <w:sz w:val="28"/>
          <w:szCs w:val="28"/>
        </w:rPr>
        <w:t>/</w:t>
      </w:r>
      <w:r>
        <w:rPr>
          <w:rFonts w:hint="eastAsia" w:ascii="宋体" w:hAnsi="宋体"/>
          <w:color w:val="000000"/>
          <w:sz w:val="28"/>
          <w:szCs w:val="28"/>
        </w:rPr>
        <w:t>立方米，遵义市最低，六盘水市最高。</w:t>
      </w:r>
      <w:r>
        <w:rPr>
          <w:rFonts w:hint="eastAsia" w:ascii="Times New Roman" w:hAnsi="宋体"/>
          <w:color w:val="000000"/>
          <w:sz w:val="28"/>
          <w:szCs w:val="28"/>
        </w:rPr>
        <w:t>二氧化硫全省平均浓度为</w:t>
      </w:r>
      <w:r>
        <w:rPr>
          <w:rFonts w:hint="eastAsia" w:ascii="Times New Roman" w:hAnsi="Times New Roman"/>
          <w:color w:val="000000"/>
          <w:sz w:val="28"/>
          <w:szCs w:val="28"/>
        </w:rPr>
        <w:t>12微</w:t>
      </w:r>
      <w:r>
        <w:rPr>
          <w:rFonts w:hint="eastAsia" w:ascii="Times New Roman" w:hAnsi="宋体"/>
          <w:color w:val="000000"/>
          <w:sz w:val="28"/>
          <w:szCs w:val="28"/>
        </w:rPr>
        <w:t>克</w:t>
      </w:r>
      <w:r>
        <w:rPr>
          <w:rFonts w:ascii="Times New Roman" w:hAnsi="Times New Roman"/>
          <w:color w:val="000000"/>
          <w:sz w:val="28"/>
          <w:szCs w:val="28"/>
        </w:rPr>
        <w:t>/</w:t>
      </w:r>
      <w:r>
        <w:rPr>
          <w:rFonts w:hint="eastAsia" w:ascii="Times New Roman" w:hAnsi="宋体"/>
          <w:color w:val="000000"/>
          <w:sz w:val="28"/>
          <w:szCs w:val="28"/>
        </w:rPr>
        <w:t>立方米，比去年同期下降</w:t>
      </w:r>
      <w:r>
        <w:rPr>
          <w:rFonts w:hint="eastAsia" w:ascii="Times New Roman" w:hAnsi="Times New Roman"/>
          <w:color w:val="000000"/>
          <w:sz w:val="28"/>
          <w:szCs w:val="28"/>
        </w:rPr>
        <w:t>7.7%</w:t>
      </w:r>
      <w:r>
        <w:rPr>
          <w:rFonts w:hint="eastAsia" w:ascii="Times New Roman" w:hAnsi="宋体"/>
          <w:color w:val="000000"/>
          <w:sz w:val="28"/>
          <w:szCs w:val="28"/>
        </w:rPr>
        <w:t>。</w:t>
      </w:r>
      <w:r>
        <w:rPr>
          <w:rFonts w:hint="eastAsia" w:ascii="宋体" w:hAnsi="宋体"/>
          <w:color w:val="000000"/>
          <w:kern w:val="0"/>
          <w:sz w:val="28"/>
        </w:rPr>
        <w:t>二氧化氮月均浓度值范围为12</w:t>
      </w:r>
      <w:r>
        <w:rPr>
          <w:rFonts w:ascii="宋体" w:hAnsi="宋体"/>
          <w:color w:val="000000"/>
          <w:kern w:val="0"/>
          <w:sz w:val="28"/>
        </w:rPr>
        <w:t>-</w:t>
      </w:r>
      <w:r>
        <w:rPr>
          <w:rFonts w:hint="eastAsia" w:ascii="宋体" w:hAnsi="宋体"/>
          <w:color w:val="000000"/>
          <w:kern w:val="0"/>
          <w:sz w:val="28"/>
        </w:rPr>
        <w:t>30微克</w:t>
      </w:r>
      <w:r>
        <w:rPr>
          <w:rFonts w:ascii="宋体" w:hAnsi="宋体"/>
          <w:color w:val="000000"/>
          <w:kern w:val="0"/>
          <w:sz w:val="28"/>
        </w:rPr>
        <w:t>/</w:t>
      </w:r>
      <w:r>
        <w:rPr>
          <w:rFonts w:hint="eastAsia" w:ascii="宋体" w:hAnsi="宋体"/>
          <w:color w:val="000000"/>
          <w:kern w:val="0"/>
          <w:sz w:val="28"/>
        </w:rPr>
        <w:t>立方米，铜仁市最低，遵义市最高。</w:t>
      </w:r>
      <w:r>
        <w:rPr>
          <w:rFonts w:hint="eastAsia" w:ascii="Times New Roman" w:hAnsi="宋体"/>
          <w:color w:val="000000"/>
          <w:sz w:val="28"/>
          <w:szCs w:val="28"/>
        </w:rPr>
        <w:t>二氧化氮全省平均浓度为</w:t>
      </w:r>
      <w:r>
        <w:rPr>
          <w:rFonts w:hint="eastAsia" w:ascii="Times New Roman" w:hAnsi="Times New Roman"/>
          <w:color w:val="000000"/>
          <w:sz w:val="28"/>
          <w:szCs w:val="28"/>
        </w:rPr>
        <w:t>20</w:t>
      </w:r>
      <w:r>
        <w:rPr>
          <w:rFonts w:hint="eastAsia" w:ascii="Times New Roman" w:hAnsi="宋体"/>
          <w:color w:val="000000"/>
          <w:sz w:val="28"/>
          <w:szCs w:val="28"/>
        </w:rPr>
        <w:t>微克</w:t>
      </w:r>
      <w:r>
        <w:rPr>
          <w:rFonts w:ascii="Times New Roman" w:hAnsi="Times New Roman"/>
          <w:color w:val="000000"/>
          <w:sz w:val="28"/>
          <w:szCs w:val="28"/>
        </w:rPr>
        <w:t>/</w:t>
      </w:r>
      <w:r>
        <w:rPr>
          <w:rFonts w:hint="eastAsia" w:ascii="Times New Roman" w:hAnsi="宋体"/>
          <w:color w:val="000000"/>
          <w:sz w:val="28"/>
          <w:szCs w:val="28"/>
        </w:rPr>
        <w:t>立方米，与去年同期持平。</w:t>
      </w:r>
      <w:r>
        <w:rPr>
          <w:rFonts w:hint="eastAsia" w:ascii="宋体" w:hAnsi="宋体"/>
          <w:color w:val="000000"/>
          <w:kern w:val="0"/>
          <w:sz w:val="28"/>
        </w:rPr>
        <w:t>可吸入颗粒物月均浓度值范围为31</w:t>
      </w:r>
      <w:r>
        <w:rPr>
          <w:rFonts w:ascii="宋体" w:hAnsi="宋体"/>
          <w:color w:val="000000"/>
          <w:kern w:val="0"/>
          <w:sz w:val="28"/>
        </w:rPr>
        <w:t>-</w:t>
      </w:r>
      <w:r>
        <w:rPr>
          <w:rFonts w:hint="eastAsia" w:ascii="宋体" w:hAnsi="宋体"/>
          <w:color w:val="000000"/>
          <w:kern w:val="0"/>
          <w:sz w:val="28"/>
        </w:rPr>
        <w:t>57微克</w:t>
      </w:r>
      <w:r>
        <w:rPr>
          <w:rFonts w:ascii="宋体" w:hAnsi="宋体"/>
          <w:color w:val="000000"/>
          <w:kern w:val="0"/>
          <w:sz w:val="28"/>
        </w:rPr>
        <w:t>/</w:t>
      </w:r>
      <w:r>
        <w:rPr>
          <w:rFonts w:hint="eastAsia" w:ascii="宋体" w:hAnsi="宋体"/>
          <w:color w:val="000000"/>
          <w:kern w:val="0"/>
          <w:sz w:val="28"/>
        </w:rPr>
        <w:t>立方米，安顺市和兴义市最低，遵义市最高</w:t>
      </w:r>
      <w:r>
        <w:rPr>
          <w:rFonts w:hint="eastAsia" w:ascii="宋体" w:hAnsi="宋体"/>
          <w:color w:val="000000"/>
          <w:sz w:val="28"/>
        </w:rPr>
        <w:t>。</w:t>
      </w:r>
      <w:r>
        <w:rPr>
          <w:rFonts w:hint="eastAsia" w:ascii="Times New Roman" w:hAnsi="宋体"/>
          <w:color w:val="000000"/>
          <w:sz w:val="28"/>
          <w:szCs w:val="28"/>
        </w:rPr>
        <w:t>可吸入颗粒物全省平均浓度为</w:t>
      </w:r>
      <w:r>
        <w:rPr>
          <w:rFonts w:hint="eastAsia" w:ascii="Times New Roman" w:hAnsi="Times New Roman"/>
          <w:color w:val="000000"/>
          <w:sz w:val="28"/>
          <w:szCs w:val="28"/>
        </w:rPr>
        <w:t>43</w:t>
      </w:r>
      <w:r>
        <w:rPr>
          <w:rFonts w:hint="eastAsia" w:ascii="Times New Roman" w:hAnsi="宋体"/>
          <w:color w:val="000000"/>
          <w:sz w:val="28"/>
          <w:szCs w:val="28"/>
        </w:rPr>
        <w:t>微克</w:t>
      </w:r>
      <w:r>
        <w:rPr>
          <w:rFonts w:ascii="Times New Roman" w:hAnsi="Times New Roman"/>
          <w:color w:val="000000"/>
          <w:sz w:val="28"/>
          <w:szCs w:val="28"/>
        </w:rPr>
        <w:t>/</w:t>
      </w:r>
      <w:r>
        <w:rPr>
          <w:rFonts w:hint="eastAsia" w:ascii="Times New Roman" w:hAnsi="宋体"/>
          <w:color w:val="000000"/>
          <w:sz w:val="28"/>
          <w:szCs w:val="28"/>
        </w:rPr>
        <w:t>立方米，比去年同期下降4.4</w:t>
      </w:r>
      <w:r>
        <w:rPr>
          <w:rFonts w:hint="eastAsia" w:ascii="Times New Roman" w:hAnsi="Times New Roman"/>
          <w:color w:val="000000"/>
          <w:sz w:val="28"/>
          <w:szCs w:val="28"/>
        </w:rPr>
        <w:t>%</w:t>
      </w:r>
      <w:r>
        <w:rPr>
          <w:rFonts w:hint="eastAsia" w:ascii="Times New Roman" w:hAnsi="宋体"/>
          <w:color w:val="000000"/>
          <w:sz w:val="28"/>
          <w:szCs w:val="28"/>
        </w:rPr>
        <w:t>。</w:t>
      </w:r>
      <w:r>
        <w:rPr>
          <w:rFonts w:hint="eastAsia" w:ascii="宋体" w:hAnsi="宋体" w:cs="宋体"/>
          <w:color w:val="000000"/>
          <w:kern w:val="0"/>
          <w:sz w:val="28"/>
          <w:szCs w:val="28"/>
        </w:rPr>
        <w:t>细颗粒物月均浓度范围为18-31</w:t>
      </w:r>
      <w:r>
        <w:rPr>
          <w:rFonts w:hint="eastAsia" w:ascii="宋体" w:hAnsi="宋体"/>
          <w:color w:val="000000"/>
          <w:kern w:val="0"/>
          <w:sz w:val="28"/>
        </w:rPr>
        <w:t>微克</w:t>
      </w:r>
      <w:r>
        <w:rPr>
          <w:rFonts w:ascii="宋体" w:hAnsi="宋体"/>
          <w:color w:val="000000"/>
          <w:kern w:val="0"/>
          <w:sz w:val="28"/>
        </w:rPr>
        <w:t>/</w:t>
      </w:r>
      <w:r>
        <w:rPr>
          <w:rFonts w:hint="eastAsia" w:ascii="宋体" w:hAnsi="宋体"/>
          <w:color w:val="000000"/>
          <w:kern w:val="0"/>
          <w:sz w:val="28"/>
        </w:rPr>
        <w:t>立方米，铜仁市最低，遵义市最高。</w:t>
      </w:r>
      <w:r>
        <w:rPr>
          <w:rFonts w:hint="eastAsia" w:ascii="Times New Roman" w:hAnsi="宋体"/>
          <w:color w:val="000000"/>
          <w:sz w:val="28"/>
          <w:szCs w:val="28"/>
        </w:rPr>
        <w:t>细颗粒物全省平均浓度为</w:t>
      </w:r>
      <w:r>
        <w:rPr>
          <w:rFonts w:hint="eastAsia" w:ascii="Times New Roman" w:hAnsi="Times New Roman"/>
          <w:color w:val="000000"/>
          <w:sz w:val="28"/>
          <w:szCs w:val="28"/>
        </w:rPr>
        <w:t>24</w:t>
      </w:r>
      <w:r>
        <w:rPr>
          <w:rFonts w:hint="eastAsia" w:ascii="Times New Roman" w:hAnsi="宋体"/>
          <w:color w:val="000000"/>
          <w:sz w:val="28"/>
          <w:szCs w:val="28"/>
        </w:rPr>
        <w:t>微克</w:t>
      </w:r>
      <w:r>
        <w:rPr>
          <w:rFonts w:ascii="Times New Roman" w:hAnsi="Times New Roman"/>
          <w:color w:val="000000"/>
          <w:sz w:val="28"/>
          <w:szCs w:val="28"/>
        </w:rPr>
        <w:t>/</w:t>
      </w:r>
      <w:r>
        <w:rPr>
          <w:rFonts w:hint="eastAsia" w:ascii="Times New Roman" w:hAnsi="宋体"/>
          <w:color w:val="000000"/>
          <w:sz w:val="28"/>
          <w:szCs w:val="28"/>
        </w:rPr>
        <w:t>立方米，比去年同期上升4.3</w:t>
      </w:r>
      <w:r>
        <w:rPr>
          <w:rFonts w:hint="eastAsia" w:ascii="Times New Roman" w:hAnsi="Times New Roman"/>
          <w:color w:val="000000"/>
          <w:sz w:val="28"/>
          <w:szCs w:val="28"/>
        </w:rPr>
        <w:t>%</w:t>
      </w:r>
      <w:r>
        <w:rPr>
          <w:rFonts w:hint="eastAsia" w:ascii="Times New Roman" w:hAnsi="宋体"/>
          <w:color w:val="000000"/>
          <w:sz w:val="28"/>
          <w:szCs w:val="28"/>
        </w:rPr>
        <w:t>。</w:t>
      </w:r>
      <w:r>
        <w:rPr>
          <w:rFonts w:hint="eastAsia" w:ascii="宋体" w:hAnsi="宋体"/>
          <w:color w:val="000000"/>
          <w:sz w:val="28"/>
          <w:szCs w:val="28"/>
        </w:rPr>
        <w:t>一氧化碳第95百分位数范围为0.5-1.4毫克</w:t>
      </w:r>
      <w:r>
        <w:rPr>
          <w:rFonts w:ascii="宋体" w:hAnsi="宋体"/>
          <w:color w:val="000000"/>
          <w:kern w:val="0"/>
          <w:sz w:val="28"/>
        </w:rPr>
        <w:t>/</w:t>
      </w:r>
      <w:r>
        <w:rPr>
          <w:rFonts w:hint="eastAsia" w:ascii="宋体" w:hAnsi="宋体"/>
          <w:color w:val="000000"/>
          <w:kern w:val="0"/>
          <w:sz w:val="28"/>
        </w:rPr>
        <w:t>立方米，都匀市最低，毕节市最高。</w:t>
      </w:r>
      <w:r>
        <w:rPr>
          <w:rFonts w:hint="eastAsia" w:ascii="宋体" w:hAnsi="宋体"/>
          <w:color w:val="000000"/>
          <w:sz w:val="28"/>
          <w:szCs w:val="28"/>
        </w:rPr>
        <w:t>一氧化碳第95百分位数</w:t>
      </w:r>
      <w:r>
        <w:rPr>
          <w:rFonts w:hint="eastAsia" w:ascii="Times New Roman" w:hAnsi="宋体"/>
          <w:color w:val="000000"/>
          <w:sz w:val="28"/>
          <w:szCs w:val="28"/>
        </w:rPr>
        <w:t>全省平均浓度</w:t>
      </w:r>
      <w:r>
        <w:rPr>
          <w:rFonts w:hint="eastAsia" w:ascii="宋体" w:hAnsi="宋体"/>
          <w:color w:val="000000"/>
          <w:sz w:val="28"/>
          <w:szCs w:val="28"/>
        </w:rPr>
        <w:t>为0.9毫克</w:t>
      </w:r>
      <w:r>
        <w:rPr>
          <w:rFonts w:ascii="宋体" w:hAnsi="宋体"/>
          <w:color w:val="000000"/>
          <w:kern w:val="0"/>
          <w:sz w:val="28"/>
        </w:rPr>
        <w:t>/</w:t>
      </w:r>
      <w:r>
        <w:rPr>
          <w:rFonts w:hint="eastAsia" w:ascii="宋体" w:hAnsi="宋体"/>
          <w:color w:val="000000"/>
          <w:kern w:val="0"/>
          <w:sz w:val="28"/>
        </w:rPr>
        <w:t>立方米</w:t>
      </w:r>
      <w:r>
        <w:rPr>
          <w:rFonts w:hint="eastAsia" w:ascii="宋体" w:hAnsi="宋体"/>
          <w:color w:val="000000"/>
          <w:sz w:val="28"/>
          <w:szCs w:val="28"/>
        </w:rPr>
        <w:t>，比</w:t>
      </w:r>
      <w:r>
        <w:rPr>
          <w:rFonts w:hint="eastAsia" w:ascii="Times New Roman" w:hAnsi="宋体"/>
          <w:color w:val="000000"/>
          <w:sz w:val="28"/>
          <w:szCs w:val="28"/>
        </w:rPr>
        <w:t>去年同期上升12.5%。</w:t>
      </w:r>
      <w:r>
        <w:rPr>
          <w:rFonts w:hint="eastAsia" w:ascii="宋体" w:hAnsi="宋体" w:cs="宋体"/>
          <w:color w:val="000000"/>
          <w:kern w:val="0"/>
          <w:sz w:val="28"/>
          <w:szCs w:val="28"/>
        </w:rPr>
        <w:t>臭氧日最大8小时值第90百分位数范围为70-138</w:t>
      </w:r>
      <w:r>
        <w:rPr>
          <w:rFonts w:hint="eastAsia" w:ascii="宋体" w:hAnsi="宋体"/>
          <w:color w:val="000000"/>
          <w:kern w:val="0"/>
          <w:sz w:val="28"/>
        </w:rPr>
        <w:t>微克</w:t>
      </w:r>
      <w:r>
        <w:rPr>
          <w:rFonts w:ascii="宋体" w:hAnsi="宋体"/>
          <w:color w:val="000000"/>
          <w:kern w:val="0"/>
          <w:sz w:val="28"/>
        </w:rPr>
        <w:t>/</w:t>
      </w:r>
      <w:r>
        <w:rPr>
          <w:rFonts w:hint="eastAsia" w:ascii="宋体" w:hAnsi="宋体"/>
          <w:color w:val="000000"/>
          <w:kern w:val="0"/>
          <w:sz w:val="28"/>
        </w:rPr>
        <w:t>立方米</w:t>
      </w:r>
      <w:r>
        <w:rPr>
          <w:rFonts w:hint="eastAsia" w:ascii="宋体" w:hAnsi="宋体" w:cs="宋体"/>
          <w:color w:val="000000"/>
          <w:kern w:val="0"/>
          <w:sz w:val="28"/>
          <w:szCs w:val="28"/>
        </w:rPr>
        <w:t>，铜仁市最低，贵阳市最高。臭氧日最大8小时值第90百分位数</w:t>
      </w:r>
      <w:r>
        <w:rPr>
          <w:rFonts w:hint="eastAsia" w:ascii="Times New Roman" w:hAnsi="宋体"/>
          <w:color w:val="000000"/>
          <w:sz w:val="28"/>
          <w:szCs w:val="28"/>
        </w:rPr>
        <w:t>全省平均浓度</w:t>
      </w:r>
      <w:r>
        <w:rPr>
          <w:rFonts w:hint="eastAsia" w:ascii="宋体" w:hAnsi="宋体" w:cs="宋体"/>
          <w:color w:val="000000"/>
          <w:kern w:val="0"/>
          <w:sz w:val="28"/>
          <w:szCs w:val="28"/>
        </w:rPr>
        <w:t>为114</w:t>
      </w:r>
      <w:r>
        <w:rPr>
          <w:rFonts w:hint="eastAsia" w:ascii="宋体" w:hAnsi="宋体"/>
          <w:color w:val="000000"/>
          <w:kern w:val="0"/>
          <w:sz w:val="28"/>
        </w:rPr>
        <w:t>微克</w:t>
      </w:r>
      <w:r>
        <w:rPr>
          <w:rFonts w:ascii="宋体" w:hAnsi="宋体"/>
          <w:color w:val="000000"/>
          <w:kern w:val="0"/>
          <w:sz w:val="28"/>
        </w:rPr>
        <w:t>/</w:t>
      </w:r>
      <w:r>
        <w:rPr>
          <w:rFonts w:hint="eastAsia" w:ascii="宋体" w:hAnsi="宋体"/>
          <w:color w:val="000000"/>
          <w:kern w:val="0"/>
          <w:sz w:val="28"/>
        </w:rPr>
        <w:t>立方米</w:t>
      </w:r>
      <w:r>
        <w:rPr>
          <w:rFonts w:hint="eastAsia" w:ascii="宋体" w:hAnsi="宋体" w:cs="宋体"/>
          <w:color w:val="000000"/>
          <w:kern w:val="0"/>
          <w:sz w:val="28"/>
          <w:szCs w:val="28"/>
        </w:rPr>
        <w:t>，</w:t>
      </w:r>
      <w:r>
        <w:rPr>
          <w:rFonts w:hint="eastAsia" w:ascii="Times New Roman" w:hAnsi="宋体"/>
          <w:color w:val="000000"/>
          <w:sz w:val="28"/>
          <w:szCs w:val="28"/>
        </w:rPr>
        <w:t>比去年同期上升1.8</w:t>
      </w:r>
      <w:r>
        <w:rPr>
          <w:rFonts w:hint="eastAsia" w:ascii="Times New Roman" w:hAnsi="Times New Roman"/>
          <w:color w:val="000000"/>
          <w:sz w:val="28"/>
          <w:szCs w:val="28"/>
        </w:rPr>
        <w:t>%</w:t>
      </w:r>
      <w:r>
        <w:rPr>
          <w:rFonts w:hint="eastAsia" w:ascii="Times New Roman" w:hAnsi="宋体"/>
          <w:color w:val="000000"/>
          <w:sz w:val="28"/>
          <w:szCs w:val="28"/>
        </w:rPr>
        <w:t>。</w:t>
      </w:r>
    </w:p>
    <w:p>
      <w:pPr>
        <w:ind w:firstLine="840" w:firstLineChars="300"/>
        <w:rPr>
          <w:rFonts w:ascii="宋体" w:hAnsi="宋体" w:cs="宋体"/>
          <w:color w:val="000000"/>
        </w:rPr>
      </w:pPr>
      <w:r>
        <w:rPr>
          <w:rFonts w:ascii="Times New Roman" w:hAnsi="宋体"/>
          <w:color w:val="000000"/>
          <w:sz w:val="28"/>
          <w:szCs w:val="28"/>
        </w:rPr>
        <w:t>201</w:t>
      </w:r>
      <w:r>
        <w:rPr>
          <w:rFonts w:hint="eastAsia" w:ascii="Times New Roman" w:hAnsi="宋体"/>
          <w:color w:val="000000"/>
          <w:sz w:val="28"/>
          <w:szCs w:val="28"/>
        </w:rPr>
        <w:t>6年8月，我省</w:t>
      </w:r>
      <w:r>
        <w:rPr>
          <w:rFonts w:ascii="Times New Roman" w:hAnsi="宋体"/>
          <w:color w:val="000000"/>
          <w:sz w:val="28"/>
          <w:szCs w:val="28"/>
        </w:rPr>
        <w:t>88</w:t>
      </w:r>
      <w:r>
        <w:rPr>
          <w:rFonts w:hint="eastAsia" w:ascii="Times New Roman" w:hAnsi="宋体"/>
          <w:color w:val="000000"/>
          <w:sz w:val="28"/>
          <w:szCs w:val="28"/>
        </w:rPr>
        <w:t>个</w:t>
      </w:r>
      <w:r>
        <w:rPr>
          <w:rFonts w:hint="eastAsia" w:ascii="Times New Roman"/>
          <w:color w:val="000000"/>
          <w:sz w:val="28"/>
          <w:szCs w:val="28"/>
        </w:rPr>
        <w:t>县（市、区）</w:t>
      </w:r>
      <w:r>
        <w:rPr>
          <w:rFonts w:ascii="宋体" w:hAnsi="宋体"/>
          <w:color w:val="000000"/>
          <w:sz w:val="28"/>
          <w:szCs w:val="28"/>
        </w:rPr>
        <w:t>按《环境空气质量标准》（GB 3095-2012）要求</w:t>
      </w:r>
      <w:r>
        <w:rPr>
          <w:rFonts w:hint="eastAsia" w:ascii="宋体" w:hAnsi="宋体"/>
          <w:color w:val="000000"/>
          <w:sz w:val="28"/>
          <w:szCs w:val="28"/>
        </w:rPr>
        <w:t>开展</w:t>
      </w:r>
      <w:r>
        <w:rPr>
          <w:rFonts w:ascii="宋体" w:hAnsi="宋体"/>
          <w:color w:val="000000"/>
          <w:sz w:val="28"/>
          <w:szCs w:val="28"/>
        </w:rPr>
        <w:t>6项指标的环境空气质量监测，依据《城市环境空气质量排名</w:t>
      </w:r>
      <w:r>
        <w:rPr>
          <w:rFonts w:hint="eastAsia" w:ascii="宋体" w:hAnsi="宋体"/>
          <w:color w:val="000000"/>
          <w:sz w:val="28"/>
          <w:szCs w:val="28"/>
        </w:rPr>
        <w:t>技术规定</w:t>
      </w:r>
      <w:r>
        <w:rPr>
          <w:rFonts w:ascii="宋体" w:hAnsi="宋体"/>
          <w:color w:val="000000"/>
          <w:sz w:val="28"/>
          <w:szCs w:val="28"/>
        </w:rPr>
        <w:t>》，按综合指数进行排</w:t>
      </w:r>
      <w:r>
        <w:rPr>
          <w:rFonts w:hint="eastAsia" w:ascii="宋体" w:hAnsi="宋体"/>
          <w:color w:val="000000"/>
          <w:sz w:val="28"/>
          <w:szCs w:val="28"/>
        </w:rPr>
        <w:t>序，排名结果见下表</w:t>
      </w:r>
      <w:r>
        <w:rPr>
          <w:rFonts w:hint="eastAsia" w:ascii="Times New Roman"/>
          <w:color w:val="000000"/>
          <w:sz w:val="28"/>
          <w:szCs w:val="28"/>
        </w:rPr>
        <w:t>。</w:t>
      </w:r>
      <w:r>
        <w:rPr>
          <w:rFonts w:hint="eastAsia" w:ascii="Times New Roman" w:hAnsi="宋体"/>
          <w:color w:val="000000"/>
          <w:sz w:val="28"/>
          <w:szCs w:val="28"/>
        </w:rPr>
        <w:t>我省</w:t>
      </w:r>
      <w:r>
        <w:rPr>
          <w:rFonts w:ascii="Times New Roman" w:hAnsi="宋体"/>
          <w:color w:val="000000"/>
          <w:sz w:val="28"/>
          <w:szCs w:val="28"/>
        </w:rPr>
        <w:t>88</w:t>
      </w:r>
      <w:r>
        <w:rPr>
          <w:rFonts w:hint="eastAsia" w:ascii="Times New Roman" w:hAnsi="宋体"/>
          <w:color w:val="000000"/>
          <w:sz w:val="28"/>
          <w:szCs w:val="28"/>
        </w:rPr>
        <w:t>个</w:t>
      </w:r>
      <w:r>
        <w:rPr>
          <w:rFonts w:hint="eastAsia" w:ascii="Times New Roman"/>
          <w:color w:val="000000"/>
          <w:sz w:val="28"/>
          <w:szCs w:val="28"/>
        </w:rPr>
        <w:t>县（市、区）中，综合指数介于</w:t>
      </w:r>
      <w:r>
        <w:rPr>
          <w:rFonts w:ascii="Times New Roman"/>
          <w:color w:val="000000"/>
          <w:sz w:val="28"/>
          <w:szCs w:val="28"/>
        </w:rPr>
        <w:t>1</w:t>
      </w:r>
      <w:r>
        <w:rPr>
          <w:rFonts w:hint="eastAsia" w:ascii="Times New Roman"/>
          <w:color w:val="000000"/>
          <w:sz w:val="28"/>
          <w:szCs w:val="28"/>
        </w:rPr>
        <w:t>-</w:t>
      </w:r>
      <w:r>
        <w:rPr>
          <w:rFonts w:ascii="Times New Roman"/>
          <w:color w:val="000000"/>
          <w:sz w:val="28"/>
          <w:szCs w:val="28"/>
        </w:rPr>
        <w:t>2</w:t>
      </w:r>
      <w:r>
        <w:rPr>
          <w:rFonts w:hint="eastAsia" w:ascii="Times New Roman"/>
          <w:color w:val="000000"/>
          <w:sz w:val="28"/>
          <w:szCs w:val="28"/>
        </w:rPr>
        <w:t>之间的县（市、区）共计11个；综合指数介于</w:t>
      </w:r>
      <w:r>
        <w:rPr>
          <w:rFonts w:ascii="Times New Roman"/>
          <w:color w:val="000000"/>
          <w:sz w:val="28"/>
          <w:szCs w:val="28"/>
        </w:rPr>
        <w:t>2</w:t>
      </w:r>
      <w:r>
        <w:rPr>
          <w:rFonts w:hint="eastAsia" w:ascii="Times New Roman"/>
          <w:color w:val="000000"/>
          <w:sz w:val="28"/>
          <w:szCs w:val="28"/>
        </w:rPr>
        <w:t>-</w:t>
      </w:r>
      <w:r>
        <w:rPr>
          <w:rFonts w:ascii="Times New Roman"/>
          <w:color w:val="000000"/>
          <w:sz w:val="28"/>
          <w:szCs w:val="28"/>
        </w:rPr>
        <w:t>3</w:t>
      </w:r>
      <w:r>
        <w:rPr>
          <w:rFonts w:hint="eastAsia" w:ascii="Times New Roman"/>
          <w:color w:val="000000"/>
          <w:sz w:val="28"/>
          <w:szCs w:val="28"/>
        </w:rPr>
        <w:t>之间的县（市、区）54个;综合指数介于3-4之间的县（市、区）22个,</w:t>
      </w:r>
      <w:r>
        <w:rPr>
          <w:rFonts w:hint="eastAsia" w:ascii="Times New Roman" w:hAnsi="Times New Roman"/>
          <w:sz w:val="28"/>
          <w:szCs w:val="28"/>
        </w:rPr>
        <w:t xml:space="preserve"> </w:t>
      </w:r>
      <w:r>
        <w:rPr>
          <w:rFonts w:hint="eastAsia" w:ascii="Times New Roman"/>
          <w:color w:val="000000"/>
          <w:sz w:val="28"/>
          <w:szCs w:val="28"/>
        </w:rPr>
        <w:t>1个县因仪器设备故障，监测数据不满足数据有效性要求，未参与排名评价。</w:t>
      </w:r>
      <w:r>
        <w:rPr>
          <w:rFonts w:hint="eastAsia" w:ascii="宋体" w:hAnsi="宋体" w:cs="宋体"/>
          <w:color w:val="000000"/>
        </w:rPr>
        <w:t xml:space="preserve">   </w:t>
      </w:r>
    </w:p>
    <w:p>
      <w:pPr>
        <w:ind w:firstLine="630" w:firstLineChars="300"/>
        <w:rPr>
          <w:rFonts w:ascii="Times New Roman"/>
          <w:color w:val="000000"/>
          <w:sz w:val="28"/>
          <w:szCs w:val="28"/>
        </w:rPr>
      </w:pPr>
      <w:r>
        <w:rPr>
          <w:rFonts w:hint="eastAsia" w:ascii="宋体" w:hAnsi="宋体" w:cs="宋体"/>
          <w:color w:val="000000"/>
        </w:rPr>
        <w:t xml:space="preserve"> </w:t>
      </w:r>
      <w:r>
        <w:rPr>
          <w:rFonts w:hint="eastAsia" w:ascii="宋体" w:hAnsi="宋体" w:cs="宋体"/>
          <w:color w:val="000000"/>
          <w:sz w:val="28"/>
          <w:szCs w:val="28"/>
        </w:rPr>
        <w:t>2016年8月，</w:t>
      </w:r>
      <w:r>
        <w:rPr>
          <w:rFonts w:hint="eastAsia" w:ascii="Times New Roman"/>
          <w:color w:val="000000"/>
          <w:sz w:val="28"/>
          <w:szCs w:val="28"/>
        </w:rPr>
        <w:t>全省共计79个县（市、区）</w:t>
      </w:r>
      <w:r>
        <w:rPr>
          <w:rFonts w:ascii="Times New Roman" w:hAnsi="Times New Roman"/>
          <w:color w:val="000000"/>
          <w:sz w:val="28"/>
          <w:szCs w:val="28"/>
        </w:rPr>
        <w:t>A</w:t>
      </w:r>
      <w:r>
        <w:rPr>
          <w:rFonts w:hint="eastAsia" w:ascii="Times New Roman" w:hAnsi="Times New Roman"/>
          <w:color w:val="000000"/>
          <w:sz w:val="28"/>
          <w:szCs w:val="28"/>
        </w:rPr>
        <w:t>Q</w:t>
      </w:r>
      <w:r>
        <w:rPr>
          <w:rFonts w:ascii="Times New Roman" w:hAnsi="Times New Roman"/>
          <w:color w:val="000000"/>
          <w:sz w:val="28"/>
          <w:szCs w:val="28"/>
        </w:rPr>
        <w:t>I</w:t>
      </w:r>
      <w:r>
        <w:rPr>
          <w:rFonts w:hint="eastAsia" w:ascii="Times New Roman"/>
          <w:color w:val="000000"/>
          <w:sz w:val="28"/>
          <w:szCs w:val="28"/>
        </w:rPr>
        <w:t>优良天数比例达到</w:t>
      </w:r>
      <w:r>
        <w:rPr>
          <w:rFonts w:ascii="Times New Roman" w:hAnsi="Times New Roman"/>
          <w:color w:val="000000"/>
          <w:sz w:val="28"/>
          <w:szCs w:val="28"/>
        </w:rPr>
        <w:t>100%</w:t>
      </w:r>
      <w:r>
        <w:rPr>
          <w:rFonts w:hint="eastAsia" w:ascii="Times New Roman"/>
          <w:color w:val="000000"/>
          <w:sz w:val="28"/>
          <w:szCs w:val="28"/>
        </w:rPr>
        <w:t>，</w:t>
      </w:r>
      <w:r>
        <w:rPr>
          <w:rFonts w:ascii="Times New Roman" w:hAnsi="Times New Roman"/>
          <w:color w:val="000000"/>
          <w:sz w:val="28"/>
          <w:szCs w:val="28"/>
        </w:rPr>
        <w:t>A</w:t>
      </w:r>
      <w:r>
        <w:rPr>
          <w:rFonts w:hint="eastAsia" w:ascii="Times New Roman" w:hAnsi="Times New Roman"/>
          <w:color w:val="000000"/>
          <w:sz w:val="28"/>
          <w:szCs w:val="28"/>
        </w:rPr>
        <w:t>Q</w:t>
      </w:r>
      <w:r>
        <w:rPr>
          <w:rFonts w:ascii="Times New Roman" w:hAnsi="Times New Roman"/>
          <w:color w:val="000000"/>
          <w:sz w:val="28"/>
          <w:szCs w:val="28"/>
        </w:rPr>
        <w:t>I</w:t>
      </w:r>
      <w:r>
        <w:rPr>
          <w:rFonts w:hint="eastAsia" w:ascii="Times New Roman"/>
          <w:color w:val="000000"/>
          <w:sz w:val="28"/>
          <w:szCs w:val="28"/>
        </w:rPr>
        <w:t>优良天数比例介于90.0%-100%之间的县（市、区）共计8个。</w:t>
      </w:r>
    </w:p>
    <w:p>
      <w:pPr>
        <w:pStyle w:val="7"/>
        <w:spacing w:before="0" w:beforeAutospacing="0" w:after="0" w:afterAutospacing="0"/>
        <w:jc w:val="center"/>
        <w:rPr>
          <w:rFonts w:ascii="Times New Roman" w:hAnsi="Times New Roman" w:cs="Times New Roman"/>
          <w:b/>
          <w:color w:val="000000"/>
        </w:rPr>
      </w:pPr>
    </w:p>
    <w:p>
      <w:pPr>
        <w:pStyle w:val="7"/>
        <w:spacing w:before="0" w:beforeAutospacing="0" w:after="0" w:afterAutospacing="0"/>
        <w:jc w:val="center"/>
        <w:rPr>
          <w:rFonts w:ascii="Times New Roman" w:cs="Times New Roman"/>
          <w:b/>
        </w:rPr>
      </w:pPr>
      <w:r>
        <w:rPr>
          <w:rFonts w:ascii="Times New Roman" w:hAnsi="Times New Roman" w:cs="Times New Roman"/>
          <w:b/>
        </w:rPr>
        <w:t>201</w:t>
      </w:r>
      <w:r>
        <w:rPr>
          <w:rFonts w:hint="eastAsia" w:ascii="Times New Roman" w:hAnsi="Times New Roman" w:cs="Times New Roman"/>
          <w:b/>
        </w:rPr>
        <w:t>6</w:t>
      </w:r>
      <w:r>
        <w:rPr>
          <w:rFonts w:hint="eastAsia" w:ascii="Times New Roman" w:cs="Times New Roman"/>
          <w:b/>
        </w:rPr>
        <w:t>年</w:t>
      </w:r>
      <w:r>
        <w:rPr>
          <w:rFonts w:hint="eastAsia" w:ascii="Times New Roman" w:hAnsi="Times New Roman" w:cs="Times New Roman"/>
          <w:b/>
        </w:rPr>
        <w:t>8</w:t>
      </w:r>
      <w:r>
        <w:rPr>
          <w:rFonts w:hint="eastAsia" w:ascii="Times New Roman" w:cs="Times New Roman"/>
          <w:b/>
        </w:rPr>
        <w:t>月贵州省</w:t>
      </w:r>
      <w:r>
        <w:rPr>
          <w:rFonts w:ascii="Times New Roman" w:cs="Times New Roman"/>
          <w:b/>
        </w:rPr>
        <w:t>88</w:t>
      </w:r>
      <w:r>
        <w:rPr>
          <w:rFonts w:hint="eastAsia" w:ascii="Times New Roman" w:cs="Times New Roman"/>
          <w:b/>
        </w:rPr>
        <w:t>个县（市、区）环境空气质量由好到差排名</w:t>
      </w:r>
    </w:p>
    <w:tbl>
      <w:tblPr>
        <w:tblStyle w:val="9"/>
        <w:tblW w:w="9286" w:type="dxa"/>
        <w:jc w:val="center"/>
        <w:tblInd w:w="0" w:type="dxa"/>
        <w:tblLayout w:type="fixed"/>
        <w:tblCellMar>
          <w:top w:w="0" w:type="dxa"/>
          <w:left w:w="108" w:type="dxa"/>
          <w:bottom w:w="0" w:type="dxa"/>
          <w:right w:w="108" w:type="dxa"/>
        </w:tblCellMar>
      </w:tblPr>
      <w:tblGrid>
        <w:gridCol w:w="968"/>
        <w:gridCol w:w="1933"/>
        <w:gridCol w:w="1935"/>
        <w:gridCol w:w="1547"/>
        <w:gridCol w:w="2903"/>
      </w:tblGrid>
      <w:tr>
        <w:tblPrEx>
          <w:tblLayout w:type="fixed"/>
          <w:tblCellMar>
            <w:top w:w="0" w:type="dxa"/>
            <w:left w:w="108" w:type="dxa"/>
            <w:bottom w:w="0" w:type="dxa"/>
            <w:right w:w="108" w:type="dxa"/>
          </w:tblCellMar>
        </w:tblPrEx>
        <w:trPr>
          <w:trHeight w:val="336" w:hRule="atLeast"/>
          <w:jc w:val="center"/>
        </w:trPr>
        <w:tc>
          <w:tcPr>
            <w:tcW w:w="96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排名</w:t>
            </w:r>
          </w:p>
        </w:tc>
        <w:tc>
          <w:tcPr>
            <w:tcW w:w="1933" w:type="dxa"/>
            <w:tcBorders>
              <w:top w:val="single" w:color="auto" w:sz="4" w:space="0"/>
              <w:left w:val="nil"/>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区、县名称</w:t>
            </w:r>
          </w:p>
        </w:tc>
        <w:tc>
          <w:tcPr>
            <w:tcW w:w="1935" w:type="dxa"/>
            <w:tcBorders>
              <w:top w:val="single" w:color="auto" w:sz="4" w:space="0"/>
              <w:left w:val="nil"/>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所属市州</w:t>
            </w:r>
          </w:p>
        </w:tc>
        <w:tc>
          <w:tcPr>
            <w:tcW w:w="1547" w:type="dxa"/>
            <w:tcBorders>
              <w:top w:val="single" w:color="auto" w:sz="4" w:space="0"/>
              <w:left w:val="nil"/>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综合指数</w:t>
            </w:r>
          </w:p>
        </w:tc>
        <w:tc>
          <w:tcPr>
            <w:tcW w:w="2903" w:type="dxa"/>
            <w:tcBorders>
              <w:top w:val="single" w:color="auto" w:sz="4" w:space="0"/>
              <w:left w:val="nil"/>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首要污染物</w:t>
            </w:r>
          </w:p>
        </w:tc>
      </w:tr>
      <w:tr>
        <w:tblPrEx>
          <w:tblLayout w:type="fixed"/>
          <w:tblCellMar>
            <w:top w:w="0" w:type="dxa"/>
            <w:left w:w="108" w:type="dxa"/>
            <w:bottom w:w="0" w:type="dxa"/>
            <w:right w:w="108" w:type="dxa"/>
          </w:tblCellMar>
        </w:tblPrEx>
        <w:trPr>
          <w:trHeight w:val="336" w:hRule="atLeast"/>
          <w:jc w:val="center"/>
        </w:trPr>
        <w:tc>
          <w:tcPr>
            <w:tcW w:w="96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w:t>
            </w:r>
          </w:p>
        </w:tc>
        <w:tc>
          <w:tcPr>
            <w:tcW w:w="1933" w:type="dxa"/>
            <w:tcBorders>
              <w:top w:val="single" w:color="auto" w:sz="4" w:space="0"/>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安龙县</w:t>
            </w:r>
          </w:p>
        </w:tc>
        <w:tc>
          <w:tcPr>
            <w:tcW w:w="1935" w:type="dxa"/>
            <w:tcBorders>
              <w:top w:val="single" w:color="auto" w:sz="4" w:space="0"/>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single" w:color="auto" w:sz="4" w:space="0"/>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1.49 </w:t>
            </w:r>
          </w:p>
        </w:tc>
        <w:tc>
          <w:tcPr>
            <w:tcW w:w="2903" w:type="dxa"/>
            <w:tcBorders>
              <w:top w:val="single" w:color="auto" w:sz="4" w:space="0"/>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石阡县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1.69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望谟县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1.71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印江县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1.77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册亨县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1.77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荔波县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1.77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普安县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1.78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丹寨县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1.83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9</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紫云县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安顺市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1.91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务川县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1.96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兴仁县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1.96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习水县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2.05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沿河县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2.05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龙里县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2.06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纳雍县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2.09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镇远县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2.10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道真县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2.14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瓮安县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2.14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19</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台江县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2.18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万山区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2.20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江口县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2.20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绥阳县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2.21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23</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关岭县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安顺市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2.23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从江县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长顺县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2.28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贞丰县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2.29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开阳县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2.32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碧江区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2.32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27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德江县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2.32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盘县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六盘水市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2.36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31</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正安县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2.37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都匀市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2.39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33</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独山县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2.42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晴隆县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2.43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凤冈县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2.44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三穗县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2.45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播州区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2.46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平塘县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2.48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39</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施秉县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2.50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余庆县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2.52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41</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玉屏县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2.55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41</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剑河县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2.55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41</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三都县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2.55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威宁县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2.56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兴义市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2.60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思南县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2.62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大方县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2.63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西秀区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安顺市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2.65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48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雷山县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2.65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金沙县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2.67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松桃县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铜仁市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2.67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镇宁县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安顺市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2.73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53</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息烽县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2.74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六枝特区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六盘水市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2.76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桐梓县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2.77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凯里市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2.78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锦屏县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2.78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清镇市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2.81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58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普定县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安顺市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2.81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麻江县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2.85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61</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榕江县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2.87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湄潭县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2.90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63</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岑巩县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2.92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赤水市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2.94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黄平县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2.96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七星关区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3.01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天柱县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3.04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平坝区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安顺市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3.05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69</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乌当区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3.09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汇川区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3.13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O</w:t>
            </w:r>
            <w:r>
              <w:rPr>
                <w:rFonts w:hint="eastAsia" w:asciiTheme="minorEastAsia" w:hAnsiTheme="minorEastAsia" w:eastAsiaTheme="minorEastAsia"/>
                <w:color w:val="000000"/>
                <w:vertAlign w:val="subscript"/>
              </w:rPr>
              <w:t>3</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70</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贵定县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3.13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白云区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3.24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赫章县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3.24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水城县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六盘水市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3.30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花溪区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3.32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观山湖区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3.33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修文县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3.38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78</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黔西县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毕节市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3.41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79</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云岩区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3.45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79</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福泉市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3.45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SO</w:t>
            </w:r>
            <w:r>
              <w:rPr>
                <w:rFonts w:hint="eastAsia" w:asciiTheme="minorEastAsia" w:hAnsiTheme="minorEastAsia" w:eastAsiaTheme="minorEastAsia"/>
                <w:color w:val="000000"/>
                <w:vertAlign w:val="subscript"/>
              </w:rPr>
              <w:t>2</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81</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罗甸县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3.46 </w:t>
            </w:r>
          </w:p>
        </w:tc>
        <w:tc>
          <w:tcPr>
            <w:tcW w:w="290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10</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82</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红花岗区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3.49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83</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黎平县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黔东南州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3.56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84</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仁怀市</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遵义市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3.57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85</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南明区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贵阳市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3.67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86</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钟山区</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六盘水市</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3.81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87</w:t>
            </w:r>
          </w:p>
        </w:tc>
        <w:tc>
          <w:tcPr>
            <w:tcW w:w="1933"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惠水县</w:t>
            </w:r>
          </w:p>
        </w:tc>
        <w:tc>
          <w:tcPr>
            <w:tcW w:w="1935"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黔南州</w:t>
            </w:r>
          </w:p>
        </w:tc>
        <w:tc>
          <w:tcPr>
            <w:tcW w:w="1547" w:type="dxa"/>
            <w:tcBorders>
              <w:top w:val="nil"/>
              <w:left w:val="nil"/>
              <w:bottom w:val="single" w:color="auto" w:sz="4" w:space="0"/>
              <w:right w:val="single" w:color="auto" w:sz="4" w:space="0"/>
            </w:tcBorders>
            <w:shd w:val="clear" w:color="auto" w:fill="auto"/>
            <w:vAlign w:val="center"/>
          </w:tcPr>
          <w:p>
            <w:pPr>
              <w:jc w:val="center"/>
              <w:rPr>
                <w:rFonts w:asciiTheme="minorEastAsia" w:hAnsiTheme="minorEastAsia" w:eastAsiaTheme="minorEastAsia"/>
                <w:color w:val="000000"/>
              </w:rPr>
            </w:pPr>
            <w:r>
              <w:rPr>
                <w:rFonts w:hint="eastAsia" w:asciiTheme="minorEastAsia" w:hAnsiTheme="minorEastAsia" w:eastAsiaTheme="minorEastAsia"/>
                <w:color w:val="000000"/>
              </w:rPr>
              <w:t xml:space="preserve">3.85 </w:t>
            </w:r>
          </w:p>
        </w:tc>
        <w:tc>
          <w:tcPr>
            <w:tcW w:w="2903" w:type="dxa"/>
            <w:tcBorders>
              <w:top w:val="nil"/>
              <w:left w:val="nil"/>
              <w:bottom w:val="single" w:color="auto" w:sz="4" w:space="0"/>
              <w:right w:val="single" w:color="auto" w:sz="4" w:space="0"/>
            </w:tcBorders>
            <w:shd w:val="clear" w:color="auto" w:fill="auto"/>
          </w:tcPr>
          <w:p>
            <w:pPr>
              <w:jc w:val="center"/>
            </w:pPr>
            <w:r>
              <w:rPr>
                <w:rFonts w:hint="eastAsia" w:asciiTheme="minorEastAsia" w:hAnsiTheme="minorEastAsia" w:eastAsiaTheme="minorEastAsia"/>
                <w:color w:val="000000"/>
              </w:rPr>
              <w:t>PM</w:t>
            </w:r>
            <w:r>
              <w:rPr>
                <w:rFonts w:hint="eastAsia" w:asciiTheme="minorEastAsia" w:hAnsiTheme="minorEastAsia" w:eastAsiaTheme="minorEastAsia"/>
                <w:color w:val="000000"/>
                <w:vertAlign w:val="subscript"/>
              </w:rPr>
              <w:t>2.5</w:t>
            </w:r>
          </w:p>
        </w:tc>
      </w:tr>
      <w:tr>
        <w:tblPrEx>
          <w:tblLayout w:type="fixed"/>
          <w:tblCellMar>
            <w:top w:w="0" w:type="dxa"/>
            <w:left w:w="108" w:type="dxa"/>
            <w:bottom w:w="0" w:type="dxa"/>
            <w:right w:w="108" w:type="dxa"/>
          </w:tblCellMar>
        </w:tblPrEx>
        <w:trPr>
          <w:trHeight w:val="336" w:hRule="atLeast"/>
          <w:jc w:val="center"/>
        </w:trPr>
        <w:tc>
          <w:tcPr>
            <w:tcW w:w="968" w:type="dxa"/>
            <w:tcBorders>
              <w:top w:val="nil"/>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p>
        </w:tc>
        <w:tc>
          <w:tcPr>
            <w:tcW w:w="1933" w:type="dxa"/>
            <w:tcBorders>
              <w:top w:val="nil"/>
              <w:left w:val="nil"/>
              <w:bottom w:val="single" w:color="auto" w:sz="4" w:space="0"/>
              <w:right w:val="single" w:color="auto" w:sz="4" w:space="0"/>
            </w:tcBorders>
            <w:shd w:val="clear" w:color="auto" w:fill="auto"/>
            <w:textDirection w:val="lrTb"/>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织金县</w:t>
            </w:r>
          </w:p>
        </w:tc>
        <w:tc>
          <w:tcPr>
            <w:tcW w:w="1935" w:type="dxa"/>
            <w:tcBorders>
              <w:top w:val="nil"/>
              <w:left w:val="nil"/>
              <w:bottom w:val="single" w:color="auto" w:sz="4" w:space="0"/>
              <w:right w:val="single" w:color="auto" w:sz="4" w:space="0"/>
            </w:tcBorders>
            <w:shd w:val="clear" w:color="auto" w:fill="auto"/>
            <w:textDirection w:val="lrTb"/>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rPr>
              <w:t>毕节市</w:t>
            </w:r>
          </w:p>
        </w:tc>
        <w:tc>
          <w:tcPr>
            <w:tcW w:w="4450" w:type="dxa"/>
            <w:gridSpan w:val="2"/>
            <w:tcBorders>
              <w:top w:val="nil"/>
              <w:left w:val="nil"/>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olor w:val="000000"/>
              </w:rPr>
            </w:pPr>
            <w:r>
              <w:rPr>
                <w:rFonts w:hint="eastAsia" w:asciiTheme="minorEastAsia" w:hAnsiTheme="minorEastAsia" w:eastAsiaTheme="minorEastAsia"/>
                <w:color w:val="000000"/>
                <w:lang w:val="en-US" w:eastAsia="zh-CN"/>
              </w:rPr>
              <w:t>因仪器设备损坏，不满足数据有效性要求，实际有效监测19天，实际达标19天。</w:t>
            </w:r>
          </w:p>
        </w:tc>
      </w:tr>
    </w:tbl>
    <w:p>
      <w:r>
        <w:rPr>
          <w:rFonts w:hint="eastAsia"/>
        </w:rPr>
        <w:t>注：根据《环境空气质量标准》（GB3095-2012）和《环境空气质量评价技术规范》（HJ663-2013）规定要求，每月参与统计的有效城市日均浓度最低不少于27天（二月份不少于25天）。</w:t>
      </w:r>
    </w:p>
    <w:p>
      <w:pPr>
        <w:spacing w:line="220" w:lineRule="atLeast"/>
      </w:pPr>
    </w:p>
    <w:p>
      <w:pPr>
        <w:ind w:firstLine="555"/>
        <w:rPr>
          <w:rFonts w:ascii="Times New Roman" w:hAnsi="宋体"/>
          <w:color w:val="000000"/>
          <w:sz w:val="28"/>
          <w:szCs w:val="28"/>
        </w:rPr>
      </w:pPr>
    </w:p>
    <w:p>
      <w:pPr>
        <w:outlineLvl w:val="0"/>
        <w:rPr>
          <w:b/>
          <w:sz w:val="28"/>
          <w:szCs w:val="28"/>
        </w:rPr>
      </w:pPr>
      <w:r>
        <w:rPr>
          <w:rFonts w:hint="eastAsia" w:hAnsi="宋体"/>
          <w:b/>
          <w:sz w:val="28"/>
          <w:szCs w:val="28"/>
        </w:rPr>
        <w:t>二、地表水水质</w:t>
      </w:r>
    </w:p>
    <w:p>
      <w:pPr>
        <w:spacing w:line="360" w:lineRule="auto"/>
        <w:rPr>
          <w:b/>
          <w:sz w:val="28"/>
          <w:szCs w:val="28"/>
        </w:rPr>
      </w:pPr>
      <w:r>
        <w:rPr>
          <w:b/>
          <w:sz w:val="28"/>
          <w:szCs w:val="28"/>
        </w:rPr>
        <w:t>1</w:t>
      </w:r>
      <w:r>
        <w:rPr>
          <w:rFonts w:hint="eastAsia" w:hAnsi="宋体"/>
          <w:b/>
          <w:sz w:val="28"/>
          <w:szCs w:val="28"/>
        </w:rPr>
        <w:t>、国控断面水质</w:t>
      </w:r>
      <w:r>
        <w:rPr>
          <w:rFonts w:hint="eastAsia" w:ascii="宋体" w:cs="宋体"/>
          <w:b/>
          <w:bCs/>
          <w:kern w:val="0"/>
          <w:sz w:val="28"/>
          <w:szCs w:val="28"/>
          <w:lang w:val="zh-CN"/>
        </w:rPr>
        <w:t>监测结果</w:t>
      </w:r>
    </w:p>
    <w:p>
      <w:pPr>
        <w:ind w:firstLine="560" w:firstLineChars="200"/>
        <w:jc w:val="left"/>
        <w:rPr>
          <w:rFonts w:ascii="宋体" w:hAnsi="宋体"/>
          <w:sz w:val="28"/>
          <w:szCs w:val="28"/>
        </w:rPr>
      </w:pPr>
      <w:r>
        <w:rPr>
          <w:rFonts w:hint="eastAsia" w:ascii="宋体" w:hAnsi="宋体"/>
          <w:sz w:val="28"/>
          <w:szCs w:val="28"/>
        </w:rPr>
        <w:t>2016年8月，全省52个国控断面水质状况为优，达到Ⅰ-Ⅲ类水质的断面占统计断面数的92.3%。其中：</w:t>
      </w:r>
    </w:p>
    <w:p>
      <w:pPr>
        <w:ind w:firstLine="562" w:firstLineChars="200"/>
        <w:rPr>
          <w:rFonts w:ascii="宋体" w:hAnsi="宋体"/>
          <w:b/>
          <w:sz w:val="28"/>
          <w:szCs w:val="28"/>
        </w:rPr>
      </w:pPr>
      <w:r>
        <w:rPr>
          <w:rFonts w:hint="eastAsia" w:ascii="宋体" w:hAnsi="宋体"/>
          <w:b/>
          <w:sz w:val="28"/>
          <w:szCs w:val="28"/>
        </w:rPr>
        <w:t>长江流域</w:t>
      </w:r>
    </w:p>
    <w:p>
      <w:pPr>
        <w:ind w:firstLine="560" w:firstLineChars="200"/>
        <w:jc w:val="left"/>
        <w:rPr>
          <w:rFonts w:ascii="宋体" w:hAnsi="宋体"/>
          <w:sz w:val="28"/>
          <w:szCs w:val="28"/>
        </w:rPr>
      </w:pPr>
      <w:r>
        <w:rPr>
          <w:rFonts w:hint="eastAsia" w:ascii="宋体" w:hAnsi="宋体"/>
          <w:sz w:val="28"/>
          <w:szCs w:val="28"/>
        </w:rPr>
        <w:t>在20条河流共布设31个监测断面。水体水质综合评价为良,Ⅰ～Ⅲ类水质断面占87.1%，Ⅳ类、Ⅴ类水质断面占6.4%，劣Ⅴ类水质断面占6.5%。</w:t>
      </w:r>
    </w:p>
    <w:p>
      <w:pPr>
        <w:ind w:firstLine="562" w:firstLineChars="200"/>
        <w:rPr>
          <w:rFonts w:ascii="宋体" w:hAnsi="宋体"/>
          <w:b/>
          <w:sz w:val="28"/>
          <w:szCs w:val="28"/>
        </w:rPr>
      </w:pPr>
      <w:r>
        <w:rPr>
          <w:rFonts w:hint="eastAsia" w:ascii="宋体" w:hAnsi="宋体"/>
          <w:b/>
          <w:sz w:val="28"/>
          <w:szCs w:val="28"/>
        </w:rPr>
        <w:t>珠江流域</w:t>
      </w:r>
    </w:p>
    <w:p>
      <w:pPr>
        <w:ind w:firstLine="560" w:firstLineChars="200"/>
        <w:jc w:val="left"/>
        <w:rPr>
          <w:rFonts w:ascii="宋体" w:hAnsi="宋体"/>
          <w:sz w:val="28"/>
          <w:szCs w:val="28"/>
        </w:rPr>
      </w:pPr>
      <w:r>
        <w:rPr>
          <w:rFonts w:hint="eastAsia" w:ascii="宋体" w:hAnsi="宋体"/>
          <w:sz w:val="28"/>
          <w:szCs w:val="28"/>
        </w:rPr>
        <w:t>在11条河流共布设21个监测断面。水体水质综合评价为优,Ⅰ～Ⅲ类水质断面占100%。</w:t>
      </w:r>
    </w:p>
    <w:p>
      <w:pPr>
        <w:ind w:firstLine="482" w:firstLineChars="200"/>
        <w:jc w:val="center"/>
        <w:rPr>
          <w:rFonts w:ascii="宋体" w:hAnsi="宋体"/>
          <w:b/>
          <w:sz w:val="24"/>
          <w:szCs w:val="24"/>
        </w:rPr>
      </w:pPr>
      <w:r>
        <w:rPr>
          <w:rFonts w:ascii="宋体" w:hAnsi="宋体"/>
          <w:b/>
          <w:sz w:val="24"/>
          <w:szCs w:val="24"/>
        </w:rPr>
        <w:t>201</w:t>
      </w:r>
      <w:r>
        <w:rPr>
          <w:rFonts w:hint="eastAsia" w:ascii="宋体" w:hAnsi="宋体"/>
          <w:b/>
          <w:sz w:val="24"/>
          <w:szCs w:val="24"/>
        </w:rPr>
        <w:t>6年8月贵州省国控断面水质状况</w:t>
      </w:r>
    </w:p>
    <w:tbl>
      <w:tblPr>
        <w:tblStyle w:val="9"/>
        <w:tblW w:w="9735" w:type="dxa"/>
        <w:tblInd w:w="93" w:type="dxa"/>
        <w:tblLayout w:type="fixed"/>
        <w:tblCellMar>
          <w:top w:w="0" w:type="dxa"/>
          <w:left w:w="108" w:type="dxa"/>
          <w:bottom w:w="0" w:type="dxa"/>
          <w:right w:w="108" w:type="dxa"/>
        </w:tblCellMar>
      </w:tblPr>
      <w:tblGrid>
        <w:gridCol w:w="463"/>
        <w:gridCol w:w="1317"/>
        <w:gridCol w:w="2014"/>
        <w:gridCol w:w="1117"/>
        <w:gridCol w:w="1403"/>
        <w:gridCol w:w="1440"/>
        <w:gridCol w:w="720"/>
        <w:gridCol w:w="1261"/>
      </w:tblGrid>
      <w:tr>
        <w:tblPrEx>
          <w:tblLayout w:type="fixed"/>
          <w:tblCellMar>
            <w:top w:w="0" w:type="dxa"/>
            <w:left w:w="108" w:type="dxa"/>
            <w:bottom w:w="0" w:type="dxa"/>
            <w:right w:w="108" w:type="dxa"/>
          </w:tblCellMar>
        </w:tblPrEx>
        <w:trPr>
          <w:trHeight w:val="285" w:hRule="atLeast"/>
          <w:tblHeader/>
        </w:trPr>
        <w:tc>
          <w:tcPr>
            <w:tcW w:w="463" w:type="dxa"/>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ascii="宋体" w:hAnsi="宋体" w:cs="宋体"/>
                <w:kern w:val="0"/>
                <w:szCs w:val="21"/>
              </w:rPr>
            </w:pPr>
            <w:r>
              <w:rPr>
                <w:rFonts w:hint="eastAsia" w:ascii="宋体" w:hAnsi="宋体" w:cs="宋体"/>
                <w:kern w:val="0"/>
                <w:szCs w:val="21"/>
              </w:rPr>
              <w:t>序号</w:t>
            </w:r>
          </w:p>
        </w:tc>
        <w:tc>
          <w:tcPr>
            <w:tcW w:w="1317"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流域</w:t>
            </w:r>
          </w:p>
        </w:tc>
        <w:tc>
          <w:tcPr>
            <w:tcW w:w="2014"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水系</w:t>
            </w:r>
          </w:p>
        </w:tc>
        <w:tc>
          <w:tcPr>
            <w:tcW w:w="1117"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河流</w:t>
            </w:r>
          </w:p>
        </w:tc>
        <w:tc>
          <w:tcPr>
            <w:tcW w:w="1403"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断面名称</w:t>
            </w:r>
          </w:p>
        </w:tc>
        <w:tc>
          <w:tcPr>
            <w:tcW w:w="1440"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所属市、州</w:t>
            </w:r>
          </w:p>
        </w:tc>
        <w:tc>
          <w:tcPr>
            <w:tcW w:w="720"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水质类别</w:t>
            </w:r>
          </w:p>
        </w:tc>
        <w:tc>
          <w:tcPr>
            <w:tcW w:w="1261" w:type="dxa"/>
            <w:tcBorders>
              <w:top w:val="single" w:color="000000" w:sz="8" w:space="0"/>
              <w:left w:val="nil"/>
              <w:bottom w:val="single" w:color="000000" w:sz="8" w:space="0"/>
              <w:right w:val="single" w:color="000000" w:sz="8" w:space="0"/>
            </w:tcBorders>
            <w:shd w:val="clear" w:color="auto" w:fill="auto"/>
            <w:vAlign w:val="center"/>
          </w:tcPr>
          <w:p>
            <w:pPr>
              <w:jc w:val="center"/>
              <w:rPr>
                <w:rFonts w:ascii="宋体" w:hAnsi="宋体" w:cs="宋体"/>
                <w:b/>
                <w:sz w:val="22"/>
                <w:szCs w:val="18"/>
              </w:rPr>
            </w:pPr>
            <w:r>
              <w:rPr>
                <w:rFonts w:hint="eastAsia"/>
                <w:b/>
                <w:sz w:val="22"/>
                <w:szCs w:val="18"/>
              </w:rPr>
              <w:t>主要污染指标</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清水河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棉花渡</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贵阳市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打秋坪</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三岔河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龙场</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六盘水市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六广</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贵阳市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5</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大关桥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贵阳市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6</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大乌江镇</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Ⅳ</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总磷</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7</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沿江渡</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8</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乌杨树</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铜仁市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9</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三岔河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叉河</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六盘水市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10</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三岔河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斯拉河大桥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安顺市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11</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六冲河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大桥边</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毕节市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12</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芙蓉江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鱼塘大桥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13</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洪渡河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长脚</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14</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印江河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西岩寺</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铜仁市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15</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石阡河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冷龙</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铜仁市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16</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清水河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新庄</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贵阳市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Ⅴ</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总磷、氨氮</w:t>
            </w:r>
          </w:p>
          <w:p>
            <w:pPr>
              <w:jc w:val="center"/>
              <w:rPr>
                <w:rFonts w:ascii="宋体" w:hAnsi="宋体" w:cs="宋体"/>
                <w:sz w:val="22"/>
                <w:szCs w:val="18"/>
              </w:rPr>
            </w:pPr>
            <w:r>
              <w:rPr>
                <w:rFonts w:hint="eastAsia" w:ascii="宋体" w:hAnsi="宋体" w:cs="宋体"/>
                <w:sz w:val="22"/>
                <w:szCs w:val="18"/>
              </w:rPr>
              <w:t>化学需氧量</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17</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鲤鱼塘</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18</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白甫河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高店</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毕节市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19</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乌江水系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羊昌河1</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焦家桥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安顺市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20</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沅水水系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舞阳河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玉屏</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铜仁市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Ⅰ</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21</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沅水水系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清水江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兴仁桥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Ⅰ</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22</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沅水水系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清水江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旁海</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23</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沅水水系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巴拉河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平敏大桥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Ⅰ</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24</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沅水水系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重安江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重安江大桥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劣Ⅴ</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总磷</w:t>
            </w:r>
          </w:p>
          <w:p>
            <w:pPr>
              <w:jc w:val="center"/>
              <w:rPr>
                <w:rFonts w:ascii="宋体" w:hAnsi="宋体" w:cs="宋体"/>
                <w:sz w:val="22"/>
                <w:szCs w:val="18"/>
              </w:rPr>
            </w:pPr>
            <w:r>
              <w:rPr>
                <w:rFonts w:hint="eastAsia" w:ascii="宋体" w:hAnsi="宋体" w:cs="宋体"/>
                <w:sz w:val="22"/>
                <w:szCs w:val="18"/>
              </w:rPr>
              <w:t>化学需氧量</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25</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沅水水系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羊昌河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凤山桥边</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劣Ⅴ</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总磷</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26</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赤水河-綦江水系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鲢鱼溪</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27</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赤水河-綦江水系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清水铺</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毕节市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28</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赤水河-綦江水系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茅台</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29</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赤水河-綦江水系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习水河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长沙</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30</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赤水河-綦江水系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桐梓河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两河口</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31</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长江流域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赤水河-綦江水系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羊蹬河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坡渡</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遵义市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32</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三江口</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33</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坡脚</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34</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蔗香南</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35</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黄泥河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黄泥河</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36</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马别河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赵家渡</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37</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发耳</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六盘水市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38</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打邦河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黄果树</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安顺市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39</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打邦河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打邦</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安顺市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40</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坝草</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安顺市</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41</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蔗香北</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42</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北盘江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岔河口</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黔西南州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43</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红水河水系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濛江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边外河</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44</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红水河水系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涟江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抵门</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45</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红水河水系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涟江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海里电站</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46</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红水河水系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坝王河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八总大桥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Ⅲ</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47</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红水河水系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六硐河</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甲茶</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48</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柳江水系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都柳江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从江大桥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Ⅰ</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49</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柳江水系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都柳江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新华</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50</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柳江水系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都柳江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榕江</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黔东南州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Ⅰ</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51</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柳江水系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都柳江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三都桥</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r>
        <w:tblPrEx>
          <w:tblLayout w:type="fixed"/>
          <w:tblCellMar>
            <w:top w:w="0" w:type="dxa"/>
            <w:left w:w="108" w:type="dxa"/>
            <w:bottom w:w="0" w:type="dxa"/>
            <w:right w:w="108" w:type="dxa"/>
          </w:tblCellMar>
        </w:tblPrEx>
        <w:trPr>
          <w:trHeight w:val="285" w:hRule="atLeast"/>
        </w:trPr>
        <w:tc>
          <w:tcPr>
            <w:tcW w:w="463"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kern w:val="0"/>
                <w:szCs w:val="21"/>
              </w:rPr>
            </w:pPr>
            <w:r>
              <w:rPr>
                <w:kern w:val="0"/>
                <w:szCs w:val="21"/>
              </w:rPr>
              <w:t>52</w:t>
            </w:r>
          </w:p>
        </w:tc>
        <w:tc>
          <w:tcPr>
            <w:tcW w:w="13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珠江流域</w:t>
            </w:r>
          </w:p>
        </w:tc>
        <w:tc>
          <w:tcPr>
            <w:tcW w:w="2014"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柳江水系</w:t>
            </w:r>
          </w:p>
        </w:tc>
        <w:tc>
          <w:tcPr>
            <w:tcW w:w="1117"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樟江</w:t>
            </w:r>
          </w:p>
        </w:tc>
        <w:tc>
          <w:tcPr>
            <w:tcW w:w="1403"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界牌</w:t>
            </w:r>
          </w:p>
        </w:tc>
        <w:tc>
          <w:tcPr>
            <w:tcW w:w="144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sz w:val="22"/>
                <w:szCs w:val="18"/>
              </w:rPr>
              <w:t>黔南州</w:t>
            </w:r>
          </w:p>
        </w:tc>
        <w:tc>
          <w:tcPr>
            <w:tcW w:w="720"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Ⅱ</w:t>
            </w:r>
          </w:p>
        </w:tc>
        <w:tc>
          <w:tcPr>
            <w:tcW w:w="1261" w:type="dxa"/>
            <w:tcBorders>
              <w:top w:val="nil"/>
              <w:left w:val="nil"/>
              <w:bottom w:val="single" w:color="000000" w:sz="8" w:space="0"/>
              <w:right w:val="single" w:color="000000" w:sz="8" w:space="0"/>
            </w:tcBorders>
            <w:shd w:val="clear" w:color="auto" w:fill="auto"/>
            <w:vAlign w:val="center"/>
          </w:tcPr>
          <w:p>
            <w:pPr>
              <w:jc w:val="center"/>
              <w:rPr>
                <w:rFonts w:ascii="宋体" w:hAnsi="宋体" w:cs="宋体"/>
                <w:sz w:val="22"/>
                <w:szCs w:val="18"/>
              </w:rPr>
            </w:pPr>
            <w:r>
              <w:rPr>
                <w:rFonts w:hint="eastAsia" w:ascii="宋体" w:hAnsi="宋体" w:cs="宋体"/>
                <w:sz w:val="22"/>
                <w:szCs w:val="18"/>
              </w:rPr>
              <w:t>--</w:t>
            </w:r>
          </w:p>
        </w:tc>
      </w:tr>
    </w:tbl>
    <w:p>
      <w:pPr>
        <w:tabs>
          <w:tab w:val="left" w:pos="525"/>
          <w:tab w:val="left" w:pos="1965"/>
        </w:tabs>
        <w:spacing w:line="360" w:lineRule="exact"/>
        <w:rPr>
          <w:rFonts w:ascii="宋体"/>
          <w:szCs w:val="21"/>
        </w:rPr>
      </w:pPr>
      <w:r>
        <w:rPr>
          <w:rFonts w:hint="eastAsia" w:ascii="宋体" w:hAnsi="宋体"/>
        </w:rPr>
        <w:t>注：</w:t>
      </w:r>
      <w:r>
        <w:rPr>
          <w:rFonts w:hint="eastAsia" w:ascii="宋体" w:hAnsi="宋体"/>
          <w:szCs w:val="21"/>
        </w:rPr>
        <w:t>按照</w:t>
      </w:r>
      <w:r>
        <w:rPr>
          <w:rFonts w:ascii="宋体" w:hAnsi="宋体"/>
          <w:szCs w:val="21"/>
        </w:rPr>
        <w:t>2011</w:t>
      </w:r>
      <w:r>
        <w:rPr>
          <w:rFonts w:hint="eastAsia" w:ascii="宋体" w:hAnsi="宋体"/>
          <w:szCs w:val="21"/>
        </w:rPr>
        <w:t>年《地表水环境质量评价办法（试行）》有关规定，总氮、粪大肠菌群每月仍然开展水质监测，但不参加水质评价。羊昌河发源于黔南州，系沅水水系重安江支流，羊昌河1发源于安顺，系乌江水系红枫湖入湖河流，羊昌河与羊昌河1为不同河流。</w:t>
      </w:r>
    </w:p>
    <w:p>
      <w:pPr>
        <w:tabs>
          <w:tab w:val="left" w:pos="525"/>
          <w:tab w:val="left" w:pos="1965"/>
        </w:tabs>
        <w:spacing w:line="360" w:lineRule="exact"/>
        <w:rPr>
          <w:rFonts w:ascii="宋体" w:cs="宋体"/>
          <w:b/>
          <w:bCs/>
          <w:kern w:val="0"/>
          <w:sz w:val="28"/>
          <w:szCs w:val="28"/>
          <w:lang w:val="zh-CN"/>
        </w:rPr>
      </w:pPr>
      <w:r>
        <w:rPr>
          <w:rFonts w:ascii="宋体" w:hAnsi="宋体"/>
          <w:szCs w:val="21"/>
        </w:rPr>
        <w:t xml:space="preserve">   </w:t>
      </w:r>
      <w:r>
        <w:rPr>
          <w:b/>
          <w:sz w:val="28"/>
          <w:szCs w:val="28"/>
        </w:rPr>
        <w:t>2</w:t>
      </w:r>
      <w:r>
        <w:rPr>
          <w:rFonts w:hint="eastAsia" w:hAnsi="宋体"/>
          <w:b/>
          <w:sz w:val="28"/>
          <w:szCs w:val="28"/>
        </w:rPr>
        <w:t>、跨市州界断面</w:t>
      </w:r>
      <w:r>
        <w:rPr>
          <w:rFonts w:hint="eastAsia" w:ascii="宋体" w:cs="宋体"/>
          <w:b/>
          <w:bCs/>
          <w:kern w:val="0"/>
          <w:sz w:val="28"/>
          <w:szCs w:val="28"/>
          <w:lang w:val="zh-CN"/>
        </w:rPr>
        <w:t>手工监测水质结果</w:t>
      </w:r>
    </w:p>
    <w:p>
      <w:pPr>
        <w:ind w:firstLine="560" w:firstLineChars="200"/>
        <w:rPr>
          <w:rFonts w:ascii="宋体" w:hAnsi="宋体"/>
          <w:sz w:val="28"/>
          <w:szCs w:val="28"/>
        </w:rPr>
      </w:pPr>
      <w:r>
        <w:rPr>
          <w:rFonts w:hint="eastAsia" w:ascii="宋体" w:hAnsi="宋体"/>
          <w:sz w:val="28"/>
          <w:szCs w:val="28"/>
        </w:rPr>
        <w:t>2016年8月，全省22个跨市州界断面水质状况为良，达到Ⅰ-Ⅲ类水质的断面占统计断面数的81.8%。其中：</w:t>
      </w:r>
    </w:p>
    <w:p>
      <w:pPr>
        <w:rPr>
          <w:rFonts w:hAnsi="宋体"/>
          <w:sz w:val="28"/>
          <w:szCs w:val="28"/>
        </w:rPr>
      </w:pPr>
      <w:r>
        <w:rPr>
          <w:sz w:val="28"/>
          <w:szCs w:val="28"/>
        </w:rPr>
        <w:t xml:space="preserve"> </w:t>
      </w:r>
      <w:r>
        <w:rPr>
          <w:rFonts w:hint="eastAsia"/>
          <w:sz w:val="28"/>
          <w:szCs w:val="28"/>
        </w:rPr>
        <w:t xml:space="preserve">   </w:t>
      </w:r>
      <w:r>
        <w:rPr>
          <w:rFonts w:hint="eastAsia" w:ascii="宋体" w:hAnsi="宋体"/>
          <w:b/>
          <w:bCs/>
          <w:sz w:val="28"/>
          <w:szCs w:val="28"/>
        </w:rPr>
        <w:t>贵阳市</w:t>
      </w:r>
      <w:r>
        <w:rPr>
          <w:rFonts w:hint="eastAsia" w:ascii="宋体" w:hAnsi="宋体"/>
          <w:sz w:val="28"/>
          <w:szCs w:val="28"/>
        </w:rPr>
        <w:t>出境断面</w:t>
      </w:r>
      <w:r>
        <w:rPr>
          <w:sz w:val="28"/>
          <w:szCs w:val="28"/>
        </w:rPr>
        <w:t>3</w:t>
      </w:r>
      <w:r>
        <w:rPr>
          <w:rFonts w:hint="eastAsia" w:ascii="宋体" w:hAnsi="宋体"/>
          <w:sz w:val="28"/>
          <w:szCs w:val="28"/>
        </w:rPr>
        <w:t>个，为贵阳市与黔南州交界的青岩断面和与遵义市交界的息烽河口、棉花渡断面。青岩断面本月水质为</w:t>
      </w:r>
      <w:r>
        <w:rPr>
          <w:rFonts w:hint="eastAsia" w:hAnsi="宋体"/>
          <w:sz w:val="28"/>
          <w:szCs w:val="28"/>
        </w:rPr>
        <w:t>Ⅲ类</w:t>
      </w:r>
      <w:r>
        <w:rPr>
          <w:rFonts w:hint="eastAsia" w:ascii="宋体" w:hAnsi="宋体"/>
          <w:sz w:val="28"/>
          <w:szCs w:val="28"/>
        </w:rPr>
        <w:t>，息烽河口断面本月水质为</w:t>
      </w:r>
      <w:r>
        <w:rPr>
          <w:rFonts w:hint="eastAsia" w:hAnsi="宋体"/>
          <w:sz w:val="28"/>
          <w:szCs w:val="28"/>
        </w:rPr>
        <w:t>Ⅴ类</w:t>
      </w:r>
      <w:r>
        <w:rPr>
          <w:rFonts w:hint="eastAsia" w:ascii="宋体" w:hAnsi="宋体"/>
          <w:sz w:val="28"/>
          <w:szCs w:val="28"/>
        </w:rPr>
        <w:t>，主要污染指标为总磷，棉花渡断面本月水质为</w:t>
      </w:r>
      <w:r>
        <w:rPr>
          <w:rFonts w:hint="eastAsia" w:hAnsi="宋体"/>
          <w:sz w:val="28"/>
          <w:szCs w:val="28"/>
        </w:rPr>
        <w:t>Ⅲ类。</w:t>
      </w:r>
    </w:p>
    <w:p>
      <w:pPr>
        <w:ind w:firstLine="562" w:firstLineChars="200"/>
        <w:rPr>
          <w:rFonts w:ascii="宋体"/>
          <w:sz w:val="28"/>
          <w:szCs w:val="28"/>
        </w:rPr>
      </w:pPr>
      <w:r>
        <w:rPr>
          <w:rFonts w:hint="eastAsia" w:ascii="宋体" w:hAnsi="宋体"/>
          <w:b/>
          <w:bCs/>
          <w:sz w:val="28"/>
          <w:szCs w:val="28"/>
        </w:rPr>
        <w:t>遵义市</w:t>
      </w:r>
      <w:r>
        <w:rPr>
          <w:rFonts w:hint="eastAsia" w:ascii="宋体" w:hAnsi="宋体"/>
          <w:sz w:val="28"/>
          <w:szCs w:val="28"/>
        </w:rPr>
        <w:t>出境断面1个，为遵义市与铜仁市交界的大乌江镇断面。大乌江镇断面本月水质为</w:t>
      </w:r>
      <w:r>
        <w:rPr>
          <w:rFonts w:hint="eastAsia" w:hAnsi="宋体"/>
          <w:sz w:val="28"/>
          <w:szCs w:val="28"/>
        </w:rPr>
        <w:t>Ⅳ</w:t>
      </w:r>
      <w:r>
        <w:rPr>
          <w:rFonts w:hint="eastAsia" w:ascii="宋体" w:hAnsi="宋体"/>
          <w:sz w:val="28"/>
          <w:szCs w:val="28"/>
        </w:rPr>
        <w:t>类，主要污染指标为总磷。</w:t>
      </w:r>
    </w:p>
    <w:p>
      <w:pPr>
        <w:ind w:firstLine="562" w:firstLineChars="200"/>
        <w:rPr>
          <w:rFonts w:ascii="宋体"/>
          <w:sz w:val="28"/>
          <w:szCs w:val="28"/>
        </w:rPr>
      </w:pPr>
      <w:r>
        <w:rPr>
          <w:rFonts w:hint="eastAsia" w:ascii="宋体" w:hAnsi="宋体"/>
          <w:b/>
          <w:bCs/>
          <w:sz w:val="28"/>
          <w:szCs w:val="28"/>
        </w:rPr>
        <w:t>六盘水市</w:t>
      </w:r>
      <w:r>
        <w:rPr>
          <w:rFonts w:hint="eastAsia" w:ascii="宋体" w:hAnsi="宋体"/>
          <w:sz w:val="28"/>
          <w:szCs w:val="28"/>
        </w:rPr>
        <w:t>出境断面4个，分别为六盘水市与黔西南州交界的岔河口断面、黄泥河断面和与安顺市交界的龙场断面和黄果树断面。岔河口断面本月水质为</w:t>
      </w:r>
      <w:r>
        <w:rPr>
          <w:rFonts w:hint="eastAsia" w:hAnsi="宋体"/>
          <w:sz w:val="28"/>
          <w:szCs w:val="28"/>
        </w:rPr>
        <w:t>Ⅱ类</w:t>
      </w:r>
      <w:r>
        <w:rPr>
          <w:rFonts w:hint="eastAsia" w:ascii="宋体" w:hAnsi="宋体"/>
          <w:sz w:val="28"/>
          <w:szCs w:val="28"/>
        </w:rPr>
        <w:t>，黄泥河断面本月水质为</w:t>
      </w:r>
      <w:r>
        <w:rPr>
          <w:rFonts w:hint="eastAsia" w:hAnsi="宋体"/>
          <w:sz w:val="28"/>
          <w:szCs w:val="28"/>
        </w:rPr>
        <w:t>Ⅱ类</w:t>
      </w:r>
      <w:r>
        <w:rPr>
          <w:rFonts w:hint="eastAsia" w:ascii="宋体" w:hAnsi="宋体"/>
          <w:sz w:val="28"/>
          <w:szCs w:val="28"/>
        </w:rPr>
        <w:t>，龙场断面本月水质为</w:t>
      </w:r>
      <w:r>
        <w:rPr>
          <w:rFonts w:hint="eastAsia" w:hAnsi="宋体"/>
          <w:sz w:val="28"/>
          <w:szCs w:val="28"/>
        </w:rPr>
        <w:t>Ⅱ类，</w:t>
      </w:r>
      <w:r>
        <w:rPr>
          <w:rFonts w:hint="eastAsia" w:ascii="宋体" w:hAnsi="宋体"/>
          <w:sz w:val="28"/>
          <w:szCs w:val="28"/>
        </w:rPr>
        <w:t>黄果树断面本月水质为</w:t>
      </w:r>
      <w:r>
        <w:rPr>
          <w:rFonts w:hint="eastAsia" w:hAnsi="宋体"/>
          <w:sz w:val="28"/>
          <w:szCs w:val="28"/>
        </w:rPr>
        <w:t>Ⅱ类</w:t>
      </w:r>
      <w:r>
        <w:rPr>
          <w:rFonts w:hint="eastAsia" w:ascii="宋体" w:hAnsi="宋体"/>
          <w:sz w:val="28"/>
          <w:szCs w:val="28"/>
        </w:rPr>
        <w:t>。</w:t>
      </w:r>
    </w:p>
    <w:p>
      <w:pPr>
        <w:ind w:firstLine="562" w:firstLineChars="200"/>
        <w:rPr>
          <w:rFonts w:ascii="宋体" w:hAnsi="宋体"/>
          <w:sz w:val="28"/>
          <w:szCs w:val="28"/>
        </w:rPr>
      </w:pPr>
      <w:r>
        <w:rPr>
          <w:rFonts w:hint="eastAsia" w:ascii="宋体" w:hAnsi="宋体"/>
          <w:b/>
          <w:bCs/>
          <w:sz w:val="28"/>
          <w:szCs w:val="28"/>
        </w:rPr>
        <w:t>安顺市</w:t>
      </w:r>
      <w:r>
        <w:rPr>
          <w:rFonts w:hint="eastAsia" w:ascii="宋体" w:hAnsi="宋体"/>
          <w:sz w:val="28"/>
          <w:szCs w:val="28"/>
        </w:rPr>
        <w:t>出境断面1个，为安顺市与黔西南州交界的坝草断面。坝草断面本月水质为</w:t>
      </w:r>
      <w:r>
        <w:rPr>
          <w:rFonts w:hint="eastAsia" w:hAnsi="宋体"/>
          <w:sz w:val="28"/>
          <w:szCs w:val="28"/>
        </w:rPr>
        <w:t>Ⅲ</w:t>
      </w:r>
      <w:r>
        <w:rPr>
          <w:rFonts w:hint="eastAsia" w:ascii="宋体" w:hAnsi="宋体"/>
          <w:sz w:val="28"/>
          <w:szCs w:val="28"/>
        </w:rPr>
        <w:t>类。</w:t>
      </w:r>
    </w:p>
    <w:p>
      <w:pPr>
        <w:ind w:firstLine="562" w:firstLineChars="200"/>
        <w:rPr>
          <w:rFonts w:ascii="宋体" w:hAnsi="宋体"/>
          <w:sz w:val="28"/>
          <w:szCs w:val="28"/>
        </w:rPr>
      </w:pPr>
      <w:r>
        <w:rPr>
          <w:rFonts w:hint="eastAsia" w:ascii="宋体" w:hAnsi="宋体"/>
          <w:b/>
          <w:bCs/>
          <w:sz w:val="28"/>
          <w:szCs w:val="28"/>
        </w:rPr>
        <w:t>毕节市</w:t>
      </w:r>
      <w:r>
        <w:rPr>
          <w:rFonts w:hint="eastAsia" w:ascii="宋体" w:hAnsi="宋体"/>
          <w:sz w:val="28"/>
          <w:szCs w:val="28"/>
        </w:rPr>
        <w:t>出境断面4个，分别为毕节市与六盘水市交界的叉河断面、与贵阳市交界的大关桥断面、与遵义市交界的偏岩河口和黄歧坳断面。叉河断面本月水质为</w:t>
      </w:r>
      <w:r>
        <w:rPr>
          <w:rFonts w:hint="eastAsia" w:hAnsi="宋体"/>
          <w:sz w:val="28"/>
          <w:szCs w:val="28"/>
        </w:rPr>
        <w:t>Ⅱ类</w:t>
      </w:r>
      <w:r>
        <w:rPr>
          <w:rFonts w:hint="eastAsia" w:ascii="宋体" w:hAnsi="宋体"/>
          <w:sz w:val="28"/>
          <w:szCs w:val="28"/>
        </w:rPr>
        <w:t>，大关桥断面本月水质为</w:t>
      </w:r>
      <w:r>
        <w:rPr>
          <w:rFonts w:hint="eastAsia" w:hAnsi="宋体"/>
          <w:sz w:val="28"/>
          <w:szCs w:val="28"/>
        </w:rPr>
        <w:t>Ⅱ类</w:t>
      </w:r>
      <w:r>
        <w:rPr>
          <w:rFonts w:hint="eastAsia" w:ascii="宋体" w:hAnsi="宋体"/>
          <w:sz w:val="28"/>
          <w:szCs w:val="28"/>
        </w:rPr>
        <w:t>，偏岩河口断面本月水质为</w:t>
      </w:r>
      <w:r>
        <w:rPr>
          <w:rFonts w:hint="eastAsia" w:hAnsi="宋体"/>
          <w:sz w:val="28"/>
          <w:szCs w:val="28"/>
        </w:rPr>
        <w:t>Ⅱ类，</w:t>
      </w:r>
      <w:r>
        <w:rPr>
          <w:rFonts w:hint="eastAsia" w:ascii="宋体" w:hAnsi="宋体"/>
          <w:sz w:val="28"/>
          <w:szCs w:val="28"/>
        </w:rPr>
        <w:t>黄歧坳断面本月水质为</w:t>
      </w:r>
      <w:r>
        <w:rPr>
          <w:rFonts w:hint="eastAsia" w:hAnsi="宋体"/>
          <w:sz w:val="28"/>
          <w:szCs w:val="28"/>
        </w:rPr>
        <w:t>Ⅱ类</w:t>
      </w:r>
      <w:r>
        <w:rPr>
          <w:rFonts w:hint="eastAsia" w:ascii="宋体" w:hAnsi="宋体"/>
          <w:sz w:val="28"/>
          <w:szCs w:val="28"/>
        </w:rPr>
        <w:t>。</w:t>
      </w:r>
    </w:p>
    <w:p>
      <w:pPr>
        <w:ind w:firstLine="562" w:firstLineChars="200"/>
        <w:rPr>
          <w:rFonts w:ascii="宋体" w:hAnsi="宋体"/>
          <w:sz w:val="28"/>
          <w:szCs w:val="28"/>
        </w:rPr>
      </w:pPr>
      <w:r>
        <w:rPr>
          <w:rFonts w:hint="eastAsia" w:ascii="宋体" w:hAnsi="宋体"/>
          <w:b/>
          <w:bCs/>
          <w:sz w:val="28"/>
          <w:szCs w:val="28"/>
        </w:rPr>
        <w:t>铜仁市</w:t>
      </w:r>
      <w:r>
        <w:rPr>
          <w:rFonts w:hint="eastAsia" w:ascii="宋体" w:hAnsi="宋体"/>
          <w:sz w:val="28"/>
          <w:szCs w:val="28"/>
        </w:rPr>
        <w:t>出境断面1个，为进入湖南省的木溪断面。木溪断面本月水质为</w:t>
      </w:r>
      <w:r>
        <w:rPr>
          <w:rFonts w:hint="eastAsia" w:hAnsi="宋体"/>
          <w:sz w:val="28"/>
          <w:szCs w:val="28"/>
        </w:rPr>
        <w:t>Ⅲ</w:t>
      </w:r>
      <w:r>
        <w:rPr>
          <w:rFonts w:hint="eastAsia" w:ascii="宋体" w:hAnsi="宋体"/>
          <w:sz w:val="28"/>
          <w:szCs w:val="28"/>
        </w:rPr>
        <w:t>类。</w:t>
      </w:r>
    </w:p>
    <w:p>
      <w:pPr>
        <w:rPr>
          <w:rFonts w:ascii="宋体"/>
          <w:sz w:val="28"/>
          <w:szCs w:val="28"/>
        </w:rPr>
      </w:pPr>
      <w:r>
        <w:rPr>
          <w:rFonts w:hint="eastAsia" w:ascii="宋体" w:hAnsi="宋体"/>
          <w:b/>
          <w:bCs/>
          <w:sz w:val="28"/>
          <w:szCs w:val="28"/>
        </w:rPr>
        <w:t xml:space="preserve">    黔东南州</w:t>
      </w:r>
      <w:r>
        <w:rPr>
          <w:rFonts w:hint="eastAsia" w:ascii="宋体" w:hAnsi="宋体"/>
          <w:sz w:val="28"/>
          <w:szCs w:val="28"/>
        </w:rPr>
        <w:t xml:space="preserve">出境断面1个，为黔东南州与铜仁市交界的玉屏断面。玉屏断面本月水质为Ⅰ类。 </w:t>
      </w:r>
    </w:p>
    <w:p>
      <w:pPr>
        <w:ind w:firstLine="562" w:firstLineChars="200"/>
        <w:rPr>
          <w:rFonts w:ascii="宋体" w:hAnsi="宋体"/>
          <w:sz w:val="28"/>
          <w:szCs w:val="28"/>
        </w:rPr>
      </w:pPr>
      <w:r>
        <w:rPr>
          <w:rFonts w:hint="eastAsia" w:ascii="宋体" w:hAnsi="宋体"/>
          <w:b/>
          <w:bCs/>
          <w:sz w:val="28"/>
          <w:szCs w:val="28"/>
        </w:rPr>
        <w:t>黔南州</w:t>
      </w:r>
      <w:r>
        <w:rPr>
          <w:rFonts w:hint="eastAsia" w:ascii="宋体" w:hAnsi="宋体"/>
          <w:sz w:val="28"/>
          <w:szCs w:val="28"/>
        </w:rPr>
        <w:t>出境断面4个，分别为黔南州与遵义市交界的天文断面和与黔东南州交界的重安江大桥、新华和兴仁桥断面。天文断面本月水质劣于Ⅴ类，主要污染指标为总磷；重安江大桥断面本月水质劣于Ⅴ类，主要污染指标为总磷，新华断面本月水质为</w:t>
      </w:r>
      <w:r>
        <w:rPr>
          <w:rFonts w:hint="eastAsia" w:hAnsi="宋体"/>
          <w:sz w:val="28"/>
          <w:szCs w:val="28"/>
        </w:rPr>
        <w:t>Ⅱ类，兴仁桥断面本月水质为Ⅰ类</w:t>
      </w:r>
      <w:r>
        <w:rPr>
          <w:rFonts w:hint="eastAsia" w:ascii="宋体" w:hAnsi="宋体"/>
          <w:sz w:val="28"/>
          <w:szCs w:val="28"/>
        </w:rPr>
        <w:t>。</w:t>
      </w:r>
    </w:p>
    <w:p>
      <w:pPr>
        <w:rPr>
          <w:szCs w:val="21"/>
        </w:rPr>
      </w:pPr>
      <w:r>
        <w:rPr>
          <w:rFonts w:hint="eastAsia" w:ascii="宋体" w:hAnsi="宋体"/>
          <w:b/>
          <w:bCs/>
          <w:sz w:val="28"/>
          <w:szCs w:val="28"/>
        </w:rPr>
        <w:t xml:space="preserve">    黔西南州</w:t>
      </w:r>
      <w:r>
        <w:rPr>
          <w:rFonts w:hint="eastAsia" w:ascii="宋体" w:hAnsi="宋体"/>
          <w:sz w:val="28"/>
          <w:szCs w:val="28"/>
        </w:rPr>
        <w:t>出境断面1个，为黔西南州与黔南州交界的罗羊断面。罗羊断面本月水质为</w:t>
      </w:r>
      <w:r>
        <w:rPr>
          <w:rFonts w:hint="eastAsia" w:hAnsi="宋体"/>
          <w:sz w:val="28"/>
          <w:szCs w:val="28"/>
        </w:rPr>
        <w:t>Ⅲ</w:t>
      </w:r>
      <w:r>
        <w:rPr>
          <w:rFonts w:hint="eastAsia" w:ascii="宋体" w:hAnsi="宋体"/>
          <w:sz w:val="28"/>
          <w:szCs w:val="28"/>
        </w:rPr>
        <w:t>类。</w:t>
      </w:r>
    </w:p>
    <w:p>
      <w:pPr>
        <w:ind w:firstLine="560" w:firstLineChars="200"/>
      </w:pPr>
      <w:r>
        <w:rPr>
          <w:rFonts w:hint="eastAsia" w:ascii="宋体" w:hAnsi="宋体"/>
          <w:sz w:val="28"/>
          <w:szCs w:val="28"/>
        </w:rPr>
        <w:t>入境断面为由云南省分别进入毕节市的清水铺断面和黔西南州的三江口断面。清水</w:t>
      </w:r>
      <w:r>
        <w:rPr>
          <w:rFonts w:hint="eastAsia" w:ascii="宋体" w:hAnsi="宋体"/>
          <w:sz w:val="28"/>
          <w:szCs w:val="28"/>
          <w:lang w:val="en-US" w:eastAsia="zh-CN"/>
        </w:rPr>
        <w:t>铺</w:t>
      </w:r>
      <w:r>
        <w:rPr>
          <w:rFonts w:hint="eastAsia" w:ascii="宋体" w:hAnsi="宋体"/>
          <w:sz w:val="28"/>
          <w:szCs w:val="28"/>
        </w:rPr>
        <w:t>断面本月水质为Ⅱ类；三江口断面本月水质为Ⅲ类。</w:t>
      </w:r>
    </w:p>
    <w:p>
      <w:pPr>
        <w:ind w:firstLine="555"/>
        <w:jc w:val="center"/>
        <w:rPr>
          <w:rFonts w:ascii="宋体" w:hAnsi="宋体"/>
          <w:b/>
          <w:sz w:val="24"/>
          <w:szCs w:val="24"/>
        </w:rPr>
      </w:pPr>
      <w:r>
        <w:rPr>
          <w:rFonts w:ascii="宋体" w:hAnsi="宋体"/>
          <w:b/>
          <w:sz w:val="24"/>
          <w:szCs w:val="24"/>
        </w:rPr>
        <w:t>201</w:t>
      </w:r>
      <w:r>
        <w:rPr>
          <w:rFonts w:hint="eastAsia" w:ascii="宋体" w:hAnsi="宋体"/>
          <w:b/>
          <w:sz w:val="24"/>
          <w:szCs w:val="24"/>
        </w:rPr>
        <w:t>6年8月贵州省跨市州界断面手工监测水质状况</w:t>
      </w:r>
    </w:p>
    <w:tbl>
      <w:tblPr>
        <w:tblStyle w:val="9"/>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647"/>
        <w:gridCol w:w="1106"/>
        <w:gridCol w:w="1104"/>
        <w:gridCol w:w="1299"/>
        <w:gridCol w:w="1404"/>
        <w:gridCol w:w="2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670" w:type="dxa"/>
            <w:vAlign w:val="center"/>
          </w:tcPr>
          <w:p>
            <w:pPr>
              <w:jc w:val="center"/>
              <w:rPr>
                <w:rFonts w:hAnsi="宋体"/>
                <w:szCs w:val="21"/>
              </w:rPr>
            </w:pPr>
            <w:r>
              <w:rPr>
                <w:rFonts w:hint="eastAsia" w:hAnsi="宋体"/>
                <w:szCs w:val="21"/>
              </w:rPr>
              <w:t>序号</w:t>
            </w:r>
          </w:p>
        </w:tc>
        <w:tc>
          <w:tcPr>
            <w:tcW w:w="647" w:type="dxa"/>
            <w:tcMar>
              <w:left w:w="0" w:type="dxa"/>
              <w:right w:w="0" w:type="dxa"/>
            </w:tcMar>
            <w:vAlign w:val="center"/>
          </w:tcPr>
          <w:p>
            <w:pPr>
              <w:jc w:val="center"/>
              <w:rPr>
                <w:szCs w:val="21"/>
              </w:rPr>
            </w:pPr>
            <w:r>
              <w:rPr>
                <w:rFonts w:hint="eastAsia" w:hAnsi="宋体"/>
                <w:szCs w:val="21"/>
              </w:rPr>
              <w:t>流域</w:t>
            </w:r>
          </w:p>
        </w:tc>
        <w:tc>
          <w:tcPr>
            <w:tcW w:w="1106" w:type="dxa"/>
            <w:tcMar>
              <w:left w:w="0" w:type="dxa"/>
              <w:right w:w="0" w:type="dxa"/>
            </w:tcMar>
            <w:vAlign w:val="center"/>
          </w:tcPr>
          <w:p>
            <w:pPr>
              <w:jc w:val="center"/>
              <w:rPr>
                <w:szCs w:val="21"/>
              </w:rPr>
            </w:pPr>
            <w:r>
              <w:rPr>
                <w:rFonts w:hint="eastAsia" w:hAnsi="宋体"/>
                <w:szCs w:val="21"/>
              </w:rPr>
              <w:t>河流</w:t>
            </w:r>
          </w:p>
        </w:tc>
        <w:tc>
          <w:tcPr>
            <w:tcW w:w="1104" w:type="dxa"/>
            <w:tcMar>
              <w:left w:w="0" w:type="dxa"/>
              <w:right w:w="0" w:type="dxa"/>
            </w:tcMar>
            <w:vAlign w:val="center"/>
          </w:tcPr>
          <w:p>
            <w:pPr>
              <w:jc w:val="center"/>
              <w:rPr>
                <w:szCs w:val="21"/>
              </w:rPr>
            </w:pPr>
            <w:r>
              <w:rPr>
                <w:rFonts w:hint="eastAsia" w:hAnsi="宋体"/>
                <w:szCs w:val="21"/>
              </w:rPr>
              <w:t>出境市、州</w:t>
            </w:r>
          </w:p>
        </w:tc>
        <w:tc>
          <w:tcPr>
            <w:tcW w:w="1299" w:type="dxa"/>
            <w:tcMar>
              <w:left w:w="0" w:type="dxa"/>
              <w:right w:w="0" w:type="dxa"/>
            </w:tcMar>
            <w:vAlign w:val="center"/>
          </w:tcPr>
          <w:p>
            <w:pPr>
              <w:jc w:val="center"/>
              <w:rPr>
                <w:szCs w:val="21"/>
              </w:rPr>
            </w:pPr>
            <w:r>
              <w:rPr>
                <w:rFonts w:hint="eastAsia" w:hAnsi="宋体"/>
                <w:szCs w:val="21"/>
              </w:rPr>
              <w:t>断面</w:t>
            </w:r>
          </w:p>
        </w:tc>
        <w:tc>
          <w:tcPr>
            <w:tcW w:w="1404" w:type="dxa"/>
            <w:tcMar>
              <w:left w:w="0" w:type="dxa"/>
              <w:right w:w="0" w:type="dxa"/>
            </w:tcMar>
            <w:vAlign w:val="center"/>
          </w:tcPr>
          <w:p>
            <w:pPr>
              <w:jc w:val="center"/>
              <w:rPr>
                <w:szCs w:val="21"/>
              </w:rPr>
            </w:pPr>
            <w:r>
              <w:rPr>
                <w:rFonts w:hint="eastAsia" w:hAnsi="宋体"/>
                <w:szCs w:val="21"/>
              </w:rPr>
              <w:t>水质</w:t>
            </w:r>
          </w:p>
          <w:p>
            <w:pPr>
              <w:jc w:val="center"/>
              <w:rPr>
                <w:szCs w:val="21"/>
              </w:rPr>
            </w:pPr>
            <w:r>
              <w:rPr>
                <w:rFonts w:hint="eastAsia" w:hAnsi="宋体"/>
                <w:szCs w:val="21"/>
              </w:rPr>
              <w:t>类别</w:t>
            </w:r>
          </w:p>
        </w:tc>
        <w:tc>
          <w:tcPr>
            <w:tcW w:w="2878" w:type="dxa"/>
            <w:tcMar>
              <w:left w:w="0" w:type="dxa"/>
              <w:right w:w="0" w:type="dxa"/>
            </w:tcMar>
            <w:vAlign w:val="center"/>
          </w:tcPr>
          <w:p>
            <w:pPr>
              <w:jc w:val="center"/>
              <w:rPr>
                <w:szCs w:val="21"/>
              </w:rPr>
            </w:pPr>
            <w:r>
              <w:rPr>
                <w:rFonts w:hint="eastAsia" w:hAnsi="宋体"/>
                <w:szCs w:val="21"/>
              </w:rPr>
              <w:t>主要污染指标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涟</w:t>
            </w:r>
            <w:r>
              <w:rPr>
                <w:rFonts w:ascii="宋体" w:hAnsi="宋体"/>
                <w:szCs w:val="21"/>
              </w:rPr>
              <w:t xml:space="preserve"> </w:t>
            </w:r>
            <w:r>
              <w:rPr>
                <w:rFonts w:hint="eastAsia" w:ascii="宋体" w:hAnsi="宋体"/>
                <w:szCs w:val="21"/>
              </w:rPr>
              <w:t>江</w:t>
            </w:r>
          </w:p>
        </w:tc>
        <w:tc>
          <w:tcPr>
            <w:tcW w:w="1104" w:type="dxa"/>
            <w:tcMar>
              <w:left w:w="0" w:type="dxa"/>
              <w:right w:w="0" w:type="dxa"/>
            </w:tcMar>
            <w:vAlign w:val="center"/>
          </w:tcPr>
          <w:p>
            <w:pPr>
              <w:jc w:val="center"/>
              <w:rPr>
                <w:szCs w:val="21"/>
              </w:rPr>
            </w:pPr>
            <w:r>
              <w:rPr>
                <w:rFonts w:hint="eastAsia" w:hAnsi="宋体"/>
                <w:szCs w:val="21"/>
              </w:rPr>
              <w:t>贵阳市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青</w:t>
            </w:r>
            <w:r>
              <w:rPr>
                <w:rFonts w:ascii="宋体" w:hAnsi="宋体"/>
                <w:szCs w:val="21"/>
              </w:rPr>
              <w:t xml:space="preserve"> </w:t>
            </w:r>
            <w:r>
              <w:rPr>
                <w:rFonts w:hint="eastAsia" w:ascii="宋体" w:hAnsi="宋体"/>
                <w:szCs w:val="21"/>
              </w:rPr>
              <w:t>岩</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Ⅲ</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2</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息烽河</w:t>
            </w:r>
          </w:p>
        </w:tc>
        <w:tc>
          <w:tcPr>
            <w:tcW w:w="1104" w:type="dxa"/>
            <w:tcMar>
              <w:left w:w="0" w:type="dxa"/>
              <w:right w:w="0" w:type="dxa"/>
            </w:tcMar>
            <w:vAlign w:val="center"/>
          </w:tcPr>
          <w:p>
            <w:pPr>
              <w:jc w:val="center"/>
              <w:rPr>
                <w:szCs w:val="21"/>
              </w:rPr>
            </w:pPr>
            <w:r>
              <w:rPr>
                <w:rFonts w:hint="eastAsia" w:hAnsi="宋体"/>
                <w:szCs w:val="21"/>
              </w:rPr>
              <w:t>贵阳市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息烽河口</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Ⅴ</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总磷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3</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清水河</w:t>
            </w:r>
          </w:p>
        </w:tc>
        <w:tc>
          <w:tcPr>
            <w:tcW w:w="1104" w:type="dxa"/>
            <w:tcMar>
              <w:left w:w="0" w:type="dxa"/>
              <w:right w:w="0" w:type="dxa"/>
            </w:tcMar>
            <w:vAlign w:val="center"/>
          </w:tcPr>
          <w:p>
            <w:pPr>
              <w:jc w:val="center"/>
              <w:rPr>
                <w:szCs w:val="21"/>
              </w:rPr>
            </w:pPr>
            <w:r>
              <w:rPr>
                <w:rFonts w:hint="eastAsia" w:hAnsi="宋体"/>
                <w:szCs w:val="21"/>
              </w:rPr>
              <w:t>贵阳市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棉花渡</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Ⅲ</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4</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乌江干流</w:t>
            </w:r>
          </w:p>
        </w:tc>
        <w:tc>
          <w:tcPr>
            <w:tcW w:w="1104" w:type="dxa"/>
            <w:tcMar>
              <w:left w:w="0" w:type="dxa"/>
              <w:right w:w="0" w:type="dxa"/>
            </w:tcMar>
            <w:vAlign w:val="center"/>
          </w:tcPr>
          <w:p>
            <w:pPr>
              <w:jc w:val="center"/>
              <w:rPr>
                <w:szCs w:val="21"/>
              </w:rPr>
            </w:pPr>
            <w:r>
              <w:rPr>
                <w:rFonts w:hint="eastAsia" w:hAnsi="宋体"/>
                <w:szCs w:val="21"/>
              </w:rPr>
              <w:t>遵义市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大乌江镇</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Ⅳ</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总磷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5</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北盘江</w:t>
            </w:r>
          </w:p>
        </w:tc>
        <w:tc>
          <w:tcPr>
            <w:tcW w:w="1104" w:type="dxa"/>
            <w:tcMar>
              <w:left w:w="0" w:type="dxa"/>
              <w:right w:w="0" w:type="dxa"/>
            </w:tcMar>
            <w:vAlign w:val="center"/>
          </w:tcPr>
          <w:p>
            <w:pPr>
              <w:jc w:val="center"/>
              <w:rPr>
                <w:szCs w:val="21"/>
              </w:rPr>
            </w:pPr>
            <w:r>
              <w:rPr>
                <w:rFonts w:hint="eastAsia" w:hAnsi="宋体"/>
                <w:szCs w:val="21"/>
              </w:rPr>
              <w:t>六盘水市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岔河口</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6</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黄泥河</w:t>
            </w:r>
          </w:p>
        </w:tc>
        <w:tc>
          <w:tcPr>
            <w:tcW w:w="1104" w:type="dxa"/>
            <w:tcMar>
              <w:left w:w="0" w:type="dxa"/>
              <w:right w:w="0" w:type="dxa"/>
            </w:tcMar>
            <w:vAlign w:val="center"/>
          </w:tcPr>
          <w:p>
            <w:pPr>
              <w:jc w:val="center"/>
              <w:rPr>
                <w:szCs w:val="21"/>
              </w:rPr>
            </w:pPr>
            <w:r>
              <w:rPr>
                <w:rFonts w:hint="eastAsia" w:hAnsi="宋体"/>
                <w:szCs w:val="21"/>
              </w:rPr>
              <w:t>六盘水市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黄泥河</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7</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三岔河</w:t>
            </w:r>
          </w:p>
        </w:tc>
        <w:tc>
          <w:tcPr>
            <w:tcW w:w="1104" w:type="dxa"/>
            <w:tcMar>
              <w:left w:w="0" w:type="dxa"/>
              <w:right w:w="0" w:type="dxa"/>
            </w:tcMar>
            <w:vAlign w:val="center"/>
          </w:tcPr>
          <w:p>
            <w:pPr>
              <w:jc w:val="center"/>
              <w:rPr>
                <w:szCs w:val="21"/>
              </w:rPr>
            </w:pPr>
            <w:r>
              <w:rPr>
                <w:rFonts w:hint="eastAsia" w:hAnsi="宋体"/>
                <w:szCs w:val="21"/>
              </w:rPr>
              <w:t>六盘水市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龙</w:t>
            </w:r>
            <w:r>
              <w:rPr>
                <w:rFonts w:ascii="宋体" w:hAnsi="宋体"/>
                <w:szCs w:val="21"/>
              </w:rPr>
              <w:t xml:space="preserve"> </w:t>
            </w:r>
            <w:r>
              <w:rPr>
                <w:rFonts w:hint="eastAsia" w:ascii="宋体" w:hAnsi="宋体"/>
                <w:szCs w:val="21"/>
              </w:rPr>
              <w:t>场</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8</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北盘江</w:t>
            </w:r>
          </w:p>
        </w:tc>
        <w:tc>
          <w:tcPr>
            <w:tcW w:w="1104" w:type="dxa"/>
            <w:tcMar>
              <w:left w:w="0" w:type="dxa"/>
              <w:right w:w="0" w:type="dxa"/>
            </w:tcMar>
            <w:vAlign w:val="center"/>
          </w:tcPr>
          <w:p>
            <w:pPr>
              <w:jc w:val="center"/>
              <w:rPr>
                <w:szCs w:val="21"/>
              </w:rPr>
            </w:pPr>
            <w:r>
              <w:rPr>
                <w:rFonts w:hint="eastAsia" w:hAnsi="宋体"/>
                <w:szCs w:val="21"/>
              </w:rPr>
              <w:t>六盘水市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黄果树</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9</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北盘江</w:t>
            </w:r>
          </w:p>
        </w:tc>
        <w:tc>
          <w:tcPr>
            <w:tcW w:w="1104" w:type="dxa"/>
            <w:tcMar>
              <w:left w:w="0" w:type="dxa"/>
              <w:right w:w="0" w:type="dxa"/>
            </w:tcMar>
            <w:vAlign w:val="center"/>
          </w:tcPr>
          <w:p>
            <w:pPr>
              <w:jc w:val="center"/>
              <w:rPr>
                <w:szCs w:val="21"/>
              </w:rPr>
            </w:pPr>
            <w:r>
              <w:rPr>
                <w:rFonts w:hint="eastAsia" w:hAnsi="宋体"/>
                <w:szCs w:val="21"/>
              </w:rPr>
              <w:t>安顺市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坝</w:t>
            </w:r>
            <w:r>
              <w:rPr>
                <w:rFonts w:ascii="宋体" w:hAnsi="宋体"/>
                <w:szCs w:val="21"/>
              </w:rPr>
              <w:t xml:space="preserve"> </w:t>
            </w:r>
            <w:r>
              <w:rPr>
                <w:rFonts w:hint="eastAsia" w:ascii="宋体" w:hAnsi="宋体"/>
                <w:szCs w:val="21"/>
              </w:rPr>
              <w:t>草</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Ⅲ</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10</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三岔河</w:t>
            </w:r>
          </w:p>
        </w:tc>
        <w:tc>
          <w:tcPr>
            <w:tcW w:w="1104" w:type="dxa"/>
            <w:tcMar>
              <w:left w:w="0" w:type="dxa"/>
              <w:right w:w="0" w:type="dxa"/>
            </w:tcMar>
            <w:vAlign w:val="center"/>
          </w:tcPr>
          <w:p>
            <w:pPr>
              <w:jc w:val="center"/>
              <w:rPr>
                <w:szCs w:val="21"/>
              </w:rPr>
            </w:pPr>
            <w:r>
              <w:rPr>
                <w:rFonts w:hint="eastAsia" w:hAnsi="宋体"/>
                <w:szCs w:val="21"/>
              </w:rPr>
              <w:t>毕节市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叉</w:t>
            </w:r>
            <w:r>
              <w:rPr>
                <w:rFonts w:ascii="宋体" w:hAnsi="宋体"/>
                <w:szCs w:val="21"/>
              </w:rPr>
              <w:t xml:space="preserve"> </w:t>
            </w:r>
            <w:r>
              <w:rPr>
                <w:rFonts w:hint="eastAsia" w:ascii="宋体" w:hAnsi="宋体"/>
                <w:szCs w:val="21"/>
              </w:rPr>
              <w:t>河</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11</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干</w:t>
            </w:r>
            <w:r>
              <w:rPr>
                <w:rFonts w:ascii="宋体" w:hAnsi="宋体"/>
                <w:szCs w:val="21"/>
              </w:rPr>
              <w:t xml:space="preserve"> </w:t>
            </w:r>
            <w:r>
              <w:rPr>
                <w:rFonts w:hint="eastAsia" w:ascii="宋体" w:hAnsi="宋体"/>
                <w:szCs w:val="21"/>
              </w:rPr>
              <w:t>流</w:t>
            </w:r>
          </w:p>
        </w:tc>
        <w:tc>
          <w:tcPr>
            <w:tcW w:w="1104" w:type="dxa"/>
            <w:tcMar>
              <w:left w:w="0" w:type="dxa"/>
              <w:right w:w="0" w:type="dxa"/>
            </w:tcMar>
            <w:vAlign w:val="center"/>
          </w:tcPr>
          <w:p>
            <w:pPr>
              <w:jc w:val="center"/>
              <w:rPr>
                <w:szCs w:val="21"/>
              </w:rPr>
            </w:pPr>
            <w:r>
              <w:rPr>
                <w:rFonts w:hint="eastAsia" w:hAnsi="宋体"/>
                <w:szCs w:val="21"/>
              </w:rPr>
              <w:t>毕节市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大关桥</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12</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偏岩河</w:t>
            </w:r>
          </w:p>
        </w:tc>
        <w:tc>
          <w:tcPr>
            <w:tcW w:w="1104" w:type="dxa"/>
            <w:tcMar>
              <w:left w:w="0" w:type="dxa"/>
              <w:right w:w="0" w:type="dxa"/>
            </w:tcMar>
            <w:vAlign w:val="center"/>
          </w:tcPr>
          <w:p>
            <w:pPr>
              <w:jc w:val="center"/>
              <w:rPr>
                <w:szCs w:val="21"/>
              </w:rPr>
            </w:pPr>
            <w:r>
              <w:rPr>
                <w:rFonts w:hint="eastAsia" w:hAnsi="宋体"/>
                <w:szCs w:val="21"/>
              </w:rPr>
              <w:t>毕节市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偏岩河口</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13</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赤水河</w:t>
            </w:r>
          </w:p>
        </w:tc>
        <w:tc>
          <w:tcPr>
            <w:tcW w:w="1104" w:type="dxa"/>
            <w:tcMar>
              <w:left w:w="0" w:type="dxa"/>
              <w:right w:w="0" w:type="dxa"/>
            </w:tcMar>
            <w:vAlign w:val="center"/>
          </w:tcPr>
          <w:p>
            <w:pPr>
              <w:jc w:val="center"/>
              <w:rPr>
                <w:szCs w:val="21"/>
              </w:rPr>
            </w:pPr>
            <w:r>
              <w:rPr>
                <w:rFonts w:hint="eastAsia" w:hAnsi="宋体"/>
                <w:szCs w:val="21"/>
              </w:rPr>
              <w:t>毕节市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黄歧坳</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14</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松桃河</w:t>
            </w:r>
          </w:p>
        </w:tc>
        <w:tc>
          <w:tcPr>
            <w:tcW w:w="1104" w:type="dxa"/>
            <w:tcMar>
              <w:left w:w="0" w:type="dxa"/>
              <w:right w:w="0" w:type="dxa"/>
            </w:tcMar>
            <w:vAlign w:val="center"/>
          </w:tcPr>
          <w:p>
            <w:pPr>
              <w:jc w:val="center"/>
              <w:rPr>
                <w:szCs w:val="21"/>
              </w:rPr>
            </w:pPr>
            <w:r>
              <w:rPr>
                <w:rFonts w:hint="eastAsia" w:hAnsi="宋体"/>
                <w:szCs w:val="21"/>
              </w:rPr>
              <w:t>铜仁市</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木</w:t>
            </w:r>
            <w:r>
              <w:rPr>
                <w:rFonts w:ascii="宋体" w:hAnsi="宋体"/>
                <w:szCs w:val="21"/>
              </w:rPr>
              <w:t xml:space="preserve"> </w:t>
            </w:r>
            <w:r>
              <w:rPr>
                <w:rFonts w:hint="eastAsia" w:ascii="宋体" w:hAnsi="宋体"/>
                <w:szCs w:val="21"/>
              </w:rPr>
              <w:t>溪</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Ⅲ</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15</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舞阳河</w:t>
            </w:r>
          </w:p>
        </w:tc>
        <w:tc>
          <w:tcPr>
            <w:tcW w:w="1104" w:type="dxa"/>
            <w:tcMar>
              <w:left w:w="0" w:type="dxa"/>
              <w:right w:w="0" w:type="dxa"/>
            </w:tcMar>
            <w:vAlign w:val="center"/>
          </w:tcPr>
          <w:p>
            <w:pPr>
              <w:jc w:val="center"/>
              <w:rPr>
                <w:szCs w:val="21"/>
              </w:rPr>
            </w:pPr>
            <w:r>
              <w:rPr>
                <w:rFonts w:hint="eastAsia" w:hAnsi="宋体"/>
                <w:szCs w:val="21"/>
              </w:rPr>
              <w:t>黔东南州</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玉</w:t>
            </w:r>
            <w:r>
              <w:rPr>
                <w:rFonts w:ascii="宋体" w:hAnsi="宋体"/>
                <w:szCs w:val="21"/>
              </w:rPr>
              <w:t xml:space="preserve"> </w:t>
            </w:r>
            <w:r>
              <w:rPr>
                <w:rFonts w:hint="eastAsia" w:ascii="宋体" w:hAnsi="宋体"/>
                <w:szCs w:val="21"/>
              </w:rPr>
              <w:t>屏</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Ⅰ</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16</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瓮安河</w:t>
            </w:r>
          </w:p>
        </w:tc>
        <w:tc>
          <w:tcPr>
            <w:tcW w:w="1104" w:type="dxa"/>
            <w:tcMar>
              <w:left w:w="0" w:type="dxa"/>
              <w:right w:w="0" w:type="dxa"/>
            </w:tcMar>
            <w:vAlign w:val="center"/>
          </w:tcPr>
          <w:p>
            <w:pPr>
              <w:jc w:val="center"/>
              <w:rPr>
                <w:szCs w:val="21"/>
              </w:rPr>
            </w:pPr>
            <w:r>
              <w:rPr>
                <w:rFonts w:hint="eastAsia" w:hAnsi="宋体"/>
                <w:szCs w:val="21"/>
              </w:rPr>
              <w:t>黔南州</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天</w:t>
            </w:r>
            <w:r>
              <w:rPr>
                <w:rFonts w:ascii="宋体" w:hAnsi="宋体"/>
                <w:szCs w:val="21"/>
              </w:rPr>
              <w:t xml:space="preserve"> </w:t>
            </w:r>
            <w:r>
              <w:rPr>
                <w:rFonts w:hint="eastAsia" w:ascii="宋体" w:hAnsi="宋体"/>
                <w:szCs w:val="21"/>
              </w:rPr>
              <w:t>文</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劣Ⅴ</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总磷、化学需氧量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17</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清水江</w:t>
            </w:r>
          </w:p>
        </w:tc>
        <w:tc>
          <w:tcPr>
            <w:tcW w:w="1104" w:type="dxa"/>
            <w:tcMar>
              <w:left w:w="0" w:type="dxa"/>
              <w:right w:w="0" w:type="dxa"/>
            </w:tcMar>
            <w:vAlign w:val="center"/>
          </w:tcPr>
          <w:p>
            <w:pPr>
              <w:jc w:val="center"/>
              <w:rPr>
                <w:szCs w:val="21"/>
              </w:rPr>
            </w:pPr>
            <w:r>
              <w:rPr>
                <w:rFonts w:hint="eastAsia" w:hAnsi="宋体"/>
                <w:szCs w:val="21"/>
              </w:rPr>
              <w:t>黔南州</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重安江大桥</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劣Ⅴ</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总磷、化学需氧量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18</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都柳江</w:t>
            </w:r>
          </w:p>
        </w:tc>
        <w:tc>
          <w:tcPr>
            <w:tcW w:w="1104" w:type="dxa"/>
            <w:tcMar>
              <w:left w:w="0" w:type="dxa"/>
              <w:right w:w="0" w:type="dxa"/>
            </w:tcMar>
            <w:vAlign w:val="center"/>
          </w:tcPr>
          <w:p>
            <w:pPr>
              <w:jc w:val="center"/>
              <w:rPr>
                <w:szCs w:val="21"/>
              </w:rPr>
            </w:pPr>
            <w:r>
              <w:rPr>
                <w:rFonts w:hint="eastAsia" w:hAnsi="宋体"/>
                <w:szCs w:val="21"/>
              </w:rPr>
              <w:t>黔南州</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新</w:t>
            </w:r>
            <w:r>
              <w:rPr>
                <w:rFonts w:ascii="宋体" w:hAnsi="宋体"/>
                <w:szCs w:val="21"/>
              </w:rPr>
              <w:t xml:space="preserve"> </w:t>
            </w:r>
            <w:r>
              <w:rPr>
                <w:rFonts w:hint="eastAsia" w:ascii="宋体" w:hAnsi="宋体"/>
                <w:szCs w:val="21"/>
              </w:rPr>
              <w:t>华</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19</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清水江</w:t>
            </w:r>
          </w:p>
        </w:tc>
        <w:tc>
          <w:tcPr>
            <w:tcW w:w="1104" w:type="dxa"/>
            <w:tcMar>
              <w:left w:w="0" w:type="dxa"/>
              <w:right w:w="0" w:type="dxa"/>
            </w:tcMar>
            <w:vAlign w:val="center"/>
          </w:tcPr>
          <w:p>
            <w:pPr>
              <w:jc w:val="center"/>
              <w:rPr>
                <w:szCs w:val="21"/>
              </w:rPr>
            </w:pPr>
            <w:r>
              <w:rPr>
                <w:rFonts w:hint="eastAsia" w:hAnsi="宋体"/>
                <w:szCs w:val="21"/>
              </w:rPr>
              <w:t>黔南州</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兴仁桥</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Ⅰ</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20</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红水河</w:t>
            </w:r>
          </w:p>
        </w:tc>
        <w:tc>
          <w:tcPr>
            <w:tcW w:w="1104" w:type="dxa"/>
            <w:tcMar>
              <w:left w:w="0" w:type="dxa"/>
              <w:right w:w="0" w:type="dxa"/>
            </w:tcMar>
            <w:vAlign w:val="center"/>
          </w:tcPr>
          <w:p>
            <w:pPr>
              <w:jc w:val="center"/>
              <w:rPr>
                <w:szCs w:val="21"/>
              </w:rPr>
            </w:pPr>
            <w:r>
              <w:rPr>
                <w:rFonts w:hint="eastAsia" w:hAnsi="宋体"/>
                <w:szCs w:val="21"/>
              </w:rPr>
              <w:t>黔西南州</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罗</w:t>
            </w:r>
            <w:r>
              <w:rPr>
                <w:rFonts w:ascii="宋体" w:hAnsi="宋体"/>
                <w:szCs w:val="21"/>
              </w:rPr>
              <w:t xml:space="preserve"> </w:t>
            </w:r>
            <w:r>
              <w:rPr>
                <w:rFonts w:hint="eastAsia" w:ascii="宋体" w:hAnsi="宋体"/>
                <w:szCs w:val="21"/>
              </w:rPr>
              <w:t>羊</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Ⅲ</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21</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长江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赤水河</w:t>
            </w:r>
          </w:p>
        </w:tc>
        <w:tc>
          <w:tcPr>
            <w:tcW w:w="1104" w:type="dxa"/>
            <w:tcMar>
              <w:left w:w="0" w:type="dxa"/>
              <w:right w:w="0" w:type="dxa"/>
            </w:tcMar>
            <w:vAlign w:val="center"/>
          </w:tcPr>
          <w:p>
            <w:pPr>
              <w:widowControl/>
              <w:jc w:val="center"/>
              <w:rPr>
                <w:rFonts w:ascii="宋体"/>
                <w:szCs w:val="21"/>
              </w:rPr>
            </w:pPr>
            <w:r>
              <w:rPr>
                <w:rFonts w:hint="eastAsia" w:ascii="宋体" w:hAnsi="宋体"/>
                <w:szCs w:val="21"/>
              </w:rPr>
              <w:t>云南入境</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清水</w:t>
            </w:r>
            <w:r>
              <w:rPr>
                <w:rFonts w:hint="eastAsia" w:ascii="宋体" w:hAnsi="宋体"/>
                <w:szCs w:val="21"/>
                <w:lang w:val="en-US" w:eastAsia="zh-CN"/>
              </w:rPr>
              <w:t>铺</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Ⅱ</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70" w:type="dxa"/>
            <w:vAlign w:val="center"/>
          </w:tcPr>
          <w:p>
            <w:pPr>
              <w:widowControl/>
              <w:jc w:val="center"/>
              <w:rPr>
                <w:rFonts w:hAnsi="宋体"/>
                <w:szCs w:val="21"/>
              </w:rPr>
            </w:pPr>
            <w:r>
              <w:rPr>
                <w:rFonts w:hAnsi="宋体"/>
                <w:szCs w:val="21"/>
              </w:rPr>
              <w:t>22</w:t>
            </w:r>
          </w:p>
        </w:tc>
        <w:tc>
          <w:tcPr>
            <w:tcW w:w="647" w:type="dxa"/>
            <w:tcMar>
              <w:left w:w="0" w:type="dxa"/>
              <w:right w:w="0" w:type="dxa"/>
            </w:tcMar>
            <w:vAlign w:val="center"/>
          </w:tcPr>
          <w:p>
            <w:pPr>
              <w:widowControl/>
              <w:jc w:val="center"/>
              <w:rPr>
                <w:rFonts w:ascii="宋体" w:hAnsi="宋体"/>
                <w:szCs w:val="21"/>
              </w:rPr>
            </w:pPr>
            <w:r>
              <w:rPr>
                <w:rFonts w:hint="eastAsia" w:ascii="宋体" w:hAnsi="宋体"/>
                <w:szCs w:val="21"/>
              </w:rPr>
              <w:t>珠江</w:t>
            </w:r>
          </w:p>
        </w:tc>
        <w:tc>
          <w:tcPr>
            <w:tcW w:w="1106" w:type="dxa"/>
            <w:tcMar>
              <w:left w:w="0" w:type="dxa"/>
              <w:right w:w="0" w:type="dxa"/>
            </w:tcMar>
            <w:vAlign w:val="center"/>
          </w:tcPr>
          <w:p>
            <w:pPr>
              <w:widowControl/>
              <w:jc w:val="center"/>
              <w:rPr>
                <w:rFonts w:ascii="宋体" w:hAnsi="宋体"/>
                <w:szCs w:val="21"/>
              </w:rPr>
            </w:pPr>
            <w:r>
              <w:rPr>
                <w:rFonts w:hint="eastAsia" w:ascii="宋体" w:hAnsi="宋体"/>
                <w:szCs w:val="21"/>
              </w:rPr>
              <w:t>南盘江</w:t>
            </w:r>
          </w:p>
        </w:tc>
        <w:tc>
          <w:tcPr>
            <w:tcW w:w="1104" w:type="dxa"/>
            <w:tcMar>
              <w:left w:w="0" w:type="dxa"/>
              <w:right w:w="0" w:type="dxa"/>
            </w:tcMar>
            <w:vAlign w:val="center"/>
          </w:tcPr>
          <w:p>
            <w:pPr>
              <w:widowControl/>
              <w:jc w:val="center"/>
              <w:rPr>
                <w:rFonts w:ascii="宋体"/>
                <w:szCs w:val="21"/>
              </w:rPr>
            </w:pPr>
            <w:r>
              <w:rPr>
                <w:rFonts w:hint="eastAsia" w:ascii="宋体" w:hAnsi="宋体"/>
                <w:szCs w:val="21"/>
              </w:rPr>
              <w:t>云南入境</w:t>
            </w:r>
          </w:p>
        </w:tc>
        <w:tc>
          <w:tcPr>
            <w:tcW w:w="1299" w:type="dxa"/>
            <w:tcMar>
              <w:left w:w="0" w:type="dxa"/>
              <w:right w:w="0" w:type="dxa"/>
            </w:tcMar>
            <w:vAlign w:val="center"/>
          </w:tcPr>
          <w:p>
            <w:pPr>
              <w:widowControl/>
              <w:jc w:val="center"/>
              <w:rPr>
                <w:rFonts w:ascii="宋体" w:hAnsi="宋体"/>
                <w:szCs w:val="21"/>
              </w:rPr>
            </w:pPr>
            <w:r>
              <w:rPr>
                <w:rFonts w:hint="eastAsia" w:ascii="宋体" w:hAnsi="宋体"/>
                <w:szCs w:val="21"/>
              </w:rPr>
              <w:t>三江口</w:t>
            </w:r>
          </w:p>
        </w:tc>
        <w:tc>
          <w:tcPr>
            <w:tcW w:w="1404" w:type="dxa"/>
            <w:tcMar>
              <w:left w:w="0" w:type="dxa"/>
              <w:right w:w="0" w:type="dxa"/>
            </w:tcMar>
            <w:vAlign w:val="center"/>
          </w:tcPr>
          <w:p>
            <w:pPr>
              <w:jc w:val="center"/>
              <w:rPr>
                <w:rFonts w:ascii="宋体" w:hAnsi="宋体" w:cs="宋体"/>
                <w:sz w:val="18"/>
                <w:szCs w:val="18"/>
              </w:rPr>
            </w:pPr>
            <w:r>
              <w:rPr>
                <w:rFonts w:hint="eastAsia"/>
                <w:sz w:val="18"/>
                <w:szCs w:val="18"/>
              </w:rPr>
              <w:t>Ⅲ</w:t>
            </w:r>
          </w:p>
        </w:tc>
        <w:tc>
          <w:tcPr>
            <w:tcW w:w="2878" w:type="dxa"/>
            <w:tcMar>
              <w:left w:w="0" w:type="dxa"/>
              <w:right w:w="0" w:type="dxa"/>
            </w:tcMar>
            <w:vAlign w:val="center"/>
          </w:tcPr>
          <w:p>
            <w:pPr>
              <w:jc w:val="center"/>
              <w:rPr>
                <w:rFonts w:ascii="宋体" w:hAnsi="宋体" w:cs="宋体"/>
                <w:sz w:val="18"/>
                <w:szCs w:val="18"/>
              </w:rPr>
            </w:pPr>
            <w:r>
              <w:rPr>
                <w:rFonts w:hint="eastAsia"/>
                <w:sz w:val="18"/>
                <w:szCs w:val="18"/>
              </w:rPr>
              <w:t>--</w:t>
            </w:r>
          </w:p>
        </w:tc>
      </w:tr>
    </w:tbl>
    <w:p>
      <w:pPr>
        <w:ind w:firstLine="210" w:firstLineChars="100"/>
        <w:rPr>
          <w:rFonts w:ascii="宋体" w:hAnsi="宋体"/>
          <w:szCs w:val="21"/>
        </w:rPr>
      </w:pPr>
      <w:r>
        <w:rPr>
          <w:rFonts w:hint="eastAsia" w:hAnsi="宋体"/>
        </w:rPr>
        <w:t>注：</w:t>
      </w:r>
      <w:r>
        <w:rPr>
          <w:rFonts w:hint="eastAsia" w:ascii="宋体"/>
          <w:szCs w:val="21"/>
        </w:rPr>
        <w:t>Ⅲ</w:t>
      </w:r>
      <w:r>
        <w:rPr>
          <w:rFonts w:hint="eastAsia" w:hAnsi="宋体"/>
          <w:szCs w:val="21"/>
        </w:rPr>
        <w:t>类及</w:t>
      </w:r>
      <w:r>
        <w:rPr>
          <w:rFonts w:hint="eastAsia" w:ascii="宋体"/>
          <w:szCs w:val="21"/>
        </w:rPr>
        <w:t>Ⅲ</w:t>
      </w:r>
      <w:r>
        <w:rPr>
          <w:rFonts w:hint="eastAsia" w:hAnsi="宋体"/>
          <w:szCs w:val="21"/>
        </w:rPr>
        <w:t>类以上水质不评价主要污染指标。</w:t>
      </w:r>
      <w:r>
        <w:rPr>
          <w:rFonts w:hint="eastAsia" w:ascii="宋体" w:hAnsi="宋体"/>
          <w:szCs w:val="21"/>
        </w:rPr>
        <w:t>按照</w:t>
      </w:r>
      <w:r>
        <w:rPr>
          <w:rFonts w:ascii="宋体" w:hAnsi="宋体"/>
          <w:szCs w:val="21"/>
        </w:rPr>
        <w:t>2011</w:t>
      </w:r>
      <w:r>
        <w:rPr>
          <w:rFonts w:hint="eastAsia" w:ascii="宋体" w:hAnsi="宋体"/>
          <w:szCs w:val="21"/>
        </w:rPr>
        <w:t>年《地表水环境质量评价试行）》规定，粪大肠菌群、总氮每月仍开展监测，但不参加水质评价。</w:t>
      </w:r>
    </w:p>
    <w:p>
      <w:pPr>
        <w:autoSpaceDE w:val="0"/>
        <w:autoSpaceDN w:val="0"/>
        <w:adjustRightInd w:val="0"/>
        <w:rPr>
          <w:rFonts w:ascii="宋体"/>
          <w:b/>
          <w:bCs/>
          <w:kern w:val="0"/>
          <w:sz w:val="28"/>
          <w:szCs w:val="28"/>
        </w:rPr>
      </w:pPr>
      <w:r>
        <w:rPr>
          <w:rFonts w:hint="eastAsia" w:ascii="宋体" w:hAnsi="宋体"/>
          <w:b/>
          <w:bCs/>
          <w:sz w:val="28"/>
          <w:szCs w:val="28"/>
        </w:rPr>
        <w:t>3、</w:t>
      </w:r>
      <w:r>
        <w:rPr>
          <w:rFonts w:hint="eastAsia" w:ascii="宋体"/>
          <w:b/>
          <w:bCs/>
          <w:kern w:val="0"/>
          <w:sz w:val="28"/>
          <w:szCs w:val="28"/>
        </w:rPr>
        <w:t>水质自动监测站主要污染指标监测结果</w:t>
      </w:r>
    </w:p>
    <w:p>
      <w:pPr>
        <w:autoSpaceDE w:val="0"/>
        <w:autoSpaceDN w:val="0"/>
        <w:adjustRightInd w:val="0"/>
        <w:ind w:left="442" w:hanging="602"/>
        <w:rPr>
          <w:rFonts w:ascii="宋体"/>
          <w:b/>
          <w:bCs/>
          <w:kern w:val="0"/>
          <w:sz w:val="24"/>
          <w:szCs w:val="24"/>
        </w:rPr>
      </w:pPr>
      <w:r>
        <w:rPr>
          <w:rFonts w:hint="eastAsia" w:ascii="宋体" w:hAnsi="宋体"/>
          <w:b/>
          <w:bCs/>
          <w:sz w:val="28"/>
          <w:szCs w:val="28"/>
        </w:rPr>
        <w:t xml:space="preserve">           </w:t>
      </w:r>
      <w:r>
        <w:rPr>
          <w:rFonts w:hint="eastAsia" w:ascii="宋体"/>
          <w:b/>
          <w:bCs/>
          <w:kern w:val="0"/>
          <w:sz w:val="24"/>
          <w:szCs w:val="24"/>
        </w:rPr>
        <w:t>2016年8月已运行水质自动监测站主要监测指标结果统计</w:t>
      </w:r>
    </w:p>
    <w:tbl>
      <w:tblPr>
        <w:tblStyle w:val="9"/>
        <w:tblW w:w="9365" w:type="dxa"/>
        <w:tblInd w:w="108" w:type="dxa"/>
        <w:tblLayout w:type="fixed"/>
        <w:tblCellMar>
          <w:top w:w="0" w:type="dxa"/>
          <w:left w:w="108" w:type="dxa"/>
          <w:bottom w:w="0" w:type="dxa"/>
          <w:right w:w="108" w:type="dxa"/>
        </w:tblCellMar>
      </w:tblPr>
      <w:tblGrid>
        <w:gridCol w:w="572"/>
        <w:gridCol w:w="993"/>
        <w:gridCol w:w="992"/>
        <w:gridCol w:w="1172"/>
        <w:gridCol w:w="1136"/>
        <w:gridCol w:w="540"/>
        <w:gridCol w:w="990"/>
        <w:gridCol w:w="698"/>
        <w:gridCol w:w="1282"/>
        <w:gridCol w:w="990"/>
      </w:tblGrid>
      <w:tr>
        <w:tblPrEx>
          <w:tblLayout w:type="fixed"/>
          <w:tblCellMar>
            <w:top w:w="0" w:type="dxa"/>
            <w:left w:w="108" w:type="dxa"/>
            <w:bottom w:w="0" w:type="dxa"/>
            <w:right w:w="108" w:type="dxa"/>
          </w:tblCellMar>
        </w:tblPrEx>
        <w:tc>
          <w:tcPr>
            <w:tcW w:w="572" w:type="dxa"/>
            <w:vMerge w:val="restart"/>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pPr>
            <w:r>
              <w:rPr>
                <w:rFonts w:hAnsi="宋体"/>
                <w:sz w:val="24"/>
                <w:szCs w:val="24"/>
              </w:rPr>
              <w:t>序号</w:t>
            </w:r>
          </w:p>
        </w:tc>
        <w:tc>
          <w:tcPr>
            <w:tcW w:w="993" w:type="dxa"/>
            <w:vMerge w:val="restart"/>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rPr>
                <w:sz w:val="24"/>
                <w:szCs w:val="24"/>
              </w:rPr>
            </w:pPr>
            <w:r>
              <w:rPr>
                <w:rFonts w:hAnsi="宋体"/>
                <w:sz w:val="24"/>
                <w:szCs w:val="24"/>
              </w:rPr>
              <w:t>水系</w:t>
            </w:r>
          </w:p>
        </w:tc>
        <w:tc>
          <w:tcPr>
            <w:tcW w:w="992" w:type="dxa"/>
            <w:vMerge w:val="restart"/>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rPr>
                <w:sz w:val="24"/>
                <w:szCs w:val="24"/>
              </w:rPr>
            </w:pPr>
            <w:r>
              <w:rPr>
                <w:rFonts w:hAnsi="宋体"/>
                <w:sz w:val="24"/>
                <w:szCs w:val="24"/>
              </w:rPr>
              <w:t>河流</w:t>
            </w:r>
          </w:p>
        </w:tc>
        <w:tc>
          <w:tcPr>
            <w:tcW w:w="1172" w:type="dxa"/>
            <w:vMerge w:val="restart"/>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rPr>
                <w:sz w:val="24"/>
                <w:szCs w:val="24"/>
              </w:rPr>
            </w:pPr>
            <w:r>
              <w:rPr>
                <w:rFonts w:hAnsi="宋体"/>
                <w:sz w:val="24"/>
                <w:szCs w:val="24"/>
              </w:rPr>
              <w:t>断面</w:t>
            </w:r>
          </w:p>
        </w:tc>
        <w:tc>
          <w:tcPr>
            <w:tcW w:w="1136" w:type="dxa"/>
            <w:vMerge w:val="restart"/>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rPr>
                <w:sz w:val="24"/>
                <w:szCs w:val="24"/>
              </w:rPr>
            </w:pPr>
            <w:r>
              <w:rPr>
                <w:rFonts w:hAnsi="宋体"/>
                <w:sz w:val="24"/>
                <w:szCs w:val="24"/>
              </w:rPr>
              <w:t>所</w:t>
            </w:r>
            <w:r>
              <w:rPr>
                <w:rFonts w:hint="eastAsia" w:hAnsi="宋体"/>
                <w:sz w:val="24"/>
                <w:szCs w:val="24"/>
              </w:rPr>
              <w:t>属</w:t>
            </w:r>
          </w:p>
          <w:p>
            <w:pPr>
              <w:jc w:val="center"/>
              <w:rPr>
                <w:sz w:val="24"/>
                <w:szCs w:val="24"/>
              </w:rPr>
            </w:pPr>
            <w:r>
              <w:rPr>
                <w:rFonts w:hAnsi="宋体"/>
                <w:sz w:val="24"/>
                <w:szCs w:val="24"/>
              </w:rPr>
              <w:t>市、州</w:t>
            </w:r>
          </w:p>
        </w:tc>
        <w:tc>
          <w:tcPr>
            <w:tcW w:w="540" w:type="dxa"/>
            <w:vMerge w:val="restart"/>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rPr>
                <w:sz w:val="24"/>
                <w:szCs w:val="24"/>
              </w:rPr>
            </w:pPr>
            <w:r>
              <w:rPr>
                <w:rFonts w:hint="eastAsia" w:hAnsi="宋体"/>
                <w:sz w:val="24"/>
                <w:szCs w:val="24"/>
                <w:lang w:val="en-US" w:eastAsia="zh-CN"/>
              </w:rPr>
              <w:t>水质</w:t>
            </w:r>
            <w:bookmarkStart w:id="0" w:name="_GoBack"/>
            <w:bookmarkEnd w:id="0"/>
            <w:r>
              <w:rPr>
                <w:rFonts w:hAnsi="宋体"/>
                <w:sz w:val="24"/>
                <w:szCs w:val="24"/>
              </w:rPr>
              <w:t>类别</w:t>
            </w:r>
          </w:p>
        </w:tc>
        <w:tc>
          <w:tcPr>
            <w:tcW w:w="3960" w:type="dxa"/>
            <w:gridSpan w:val="4"/>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rPr>
                <w:sz w:val="24"/>
                <w:szCs w:val="24"/>
              </w:rPr>
            </w:pPr>
            <w:r>
              <w:rPr>
                <w:rFonts w:hAnsi="宋体"/>
              </w:rPr>
              <w:t>主要监测指标</w:t>
            </w:r>
          </w:p>
        </w:tc>
      </w:tr>
      <w:tr>
        <w:tblPrEx>
          <w:tblLayout w:type="fixed"/>
          <w:tblCellMar>
            <w:top w:w="0" w:type="dxa"/>
            <w:left w:w="108" w:type="dxa"/>
            <w:bottom w:w="0" w:type="dxa"/>
            <w:right w:w="108" w:type="dxa"/>
          </w:tblCellMar>
        </w:tblPrEx>
        <w:trPr>
          <w:trHeight w:val="77" w:hRule="atLeast"/>
        </w:trPr>
        <w:tc>
          <w:tcPr>
            <w:tcW w:w="57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993" w:type="dxa"/>
            <w:vMerge w:val="continue"/>
            <w:tcBorders>
              <w:top w:val="single" w:color="auto" w:sz="4" w:space="0"/>
              <w:left w:val="nil"/>
              <w:bottom w:val="single" w:color="auto" w:sz="4" w:space="0"/>
              <w:right w:val="single" w:color="auto" w:sz="4" w:space="0"/>
            </w:tcBorders>
            <w:vAlign w:val="center"/>
          </w:tcPr>
          <w:p>
            <w:pPr>
              <w:widowControl/>
              <w:jc w:val="left"/>
              <w:rPr>
                <w:sz w:val="24"/>
                <w:szCs w:val="24"/>
              </w:rPr>
            </w:pPr>
          </w:p>
        </w:tc>
        <w:tc>
          <w:tcPr>
            <w:tcW w:w="992" w:type="dxa"/>
            <w:vMerge w:val="continue"/>
            <w:tcBorders>
              <w:top w:val="single" w:color="auto" w:sz="4" w:space="0"/>
              <w:left w:val="nil"/>
              <w:bottom w:val="single" w:color="auto" w:sz="4" w:space="0"/>
              <w:right w:val="single" w:color="auto" w:sz="4" w:space="0"/>
            </w:tcBorders>
            <w:vAlign w:val="center"/>
          </w:tcPr>
          <w:p>
            <w:pPr>
              <w:widowControl/>
              <w:jc w:val="left"/>
              <w:rPr>
                <w:sz w:val="24"/>
                <w:szCs w:val="24"/>
              </w:rPr>
            </w:pPr>
          </w:p>
        </w:tc>
        <w:tc>
          <w:tcPr>
            <w:tcW w:w="1172" w:type="dxa"/>
            <w:vMerge w:val="continue"/>
            <w:tcBorders>
              <w:top w:val="single" w:color="auto" w:sz="4" w:space="0"/>
              <w:left w:val="nil"/>
              <w:bottom w:val="single" w:color="auto" w:sz="4" w:space="0"/>
              <w:right w:val="single" w:color="auto" w:sz="4" w:space="0"/>
            </w:tcBorders>
            <w:vAlign w:val="center"/>
          </w:tcPr>
          <w:p>
            <w:pPr>
              <w:widowControl/>
              <w:jc w:val="left"/>
              <w:rPr>
                <w:sz w:val="24"/>
                <w:szCs w:val="24"/>
              </w:rPr>
            </w:pPr>
          </w:p>
        </w:tc>
        <w:tc>
          <w:tcPr>
            <w:tcW w:w="1136" w:type="dxa"/>
            <w:vMerge w:val="continue"/>
            <w:tcBorders>
              <w:top w:val="single" w:color="auto" w:sz="4" w:space="0"/>
              <w:left w:val="nil"/>
              <w:bottom w:val="single" w:color="auto" w:sz="4" w:space="0"/>
              <w:right w:val="single" w:color="auto" w:sz="4" w:space="0"/>
            </w:tcBorders>
            <w:vAlign w:val="center"/>
          </w:tcPr>
          <w:p>
            <w:pPr>
              <w:widowControl/>
              <w:jc w:val="left"/>
              <w:rPr>
                <w:sz w:val="24"/>
                <w:szCs w:val="24"/>
              </w:rPr>
            </w:pPr>
          </w:p>
        </w:tc>
        <w:tc>
          <w:tcPr>
            <w:tcW w:w="540" w:type="dxa"/>
            <w:vMerge w:val="continue"/>
            <w:tcBorders>
              <w:top w:val="single" w:color="auto" w:sz="4" w:space="0"/>
              <w:left w:val="nil"/>
              <w:bottom w:val="single" w:color="auto" w:sz="4" w:space="0"/>
              <w:right w:val="single" w:color="auto" w:sz="4" w:space="0"/>
            </w:tcBorders>
            <w:vAlign w:val="center"/>
          </w:tcPr>
          <w:p>
            <w:pPr>
              <w:widowControl/>
              <w:jc w:val="left"/>
              <w:rPr>
                <w:sz w:val="24"/>
                <w:szCs w:val="24"/>
              </w:rPr>
            </w:pP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adjustRightInd w:val="0"/>
              <w:snapToGrid w:val="0"/>
              <w:spacing w:line="300" w:lineRule="exact"/>
              <w:jc w:val="center"/>
              <w:rPr>
                <w:sz w:val="24"/>
                <w:szCs w:val="24"/>
              </w:rPr>
            </w:pPr>
            <w:r>
              <w:rPr>
                <w:rFonts w:hAnsi="宋体"/>
                <w:kern w:val="0"/>
                <w:sz w:val="24"/>
                <w:szCs w:val="24"/>
              </w:rPr>
              <w:t>高锰酸盐指数</w:t>
            </w:r>
          </w:p>
        </w:tc>
        <w:tc>
          <w:tcPr>
            <w:tcW w:w="698" w:type="dxa"/>
            <w:tcBorders>
              <w:top w:val="single" w:color="auto" w:sz="4" w:space="0"/>
              <w:left w:val="nil"/>
              <w:bottom w:val="single" w:color="auto" w:sz="4" w:space="0"/>
              <w:right w:val="single" w:color="auto" w:sz="4" w:space="0"/>
            </w:tcBorders>
            <w:vAlign w:val="center"/>
          </w:tcPr>
          <w:p>
            <w:pPr>
              <w:adjustRightInd w:val="0"/>
              <w:snapToGrid w:val="0"/>
              <w:spacing w:line="300" w:lineRule="exact"/>
              <w:jc w:val="center"/>
              <w:rPr>
                <w:sz w:val="24"/>
                <w:szCs w:val="24"/>
              </w:rPr>
            </w:pPr>
            <w:r>
              <w:rPr>
                <w:rFonts w:hAnsi="宋体"/>
                <w:kern w:val="0"/>
                <w:sz w:val="24"/>
                <w:szCs w:val="24"/>
              </w:rPr>
              <w:t>氨氮</w:t>
            </w:r>
          </w:p>
        </w:tc>
        <w:tc>
          <w:tcPr>
            <w:tcW w:w="1282" w:type="dxa"/>
            <w:tcBorders>
              <w:top w:val="single" w:color="auto" w:sz="4" w:space="0"/>
              <w:left w:val="nil"/>
              <w:bottom w:val="single" w:color="auto" w:sz="4" w:space="0"/>
              <w:right w:val="single" w:color="auto" w:sz="4" w:space="0"/>
            </w:tcBorders>
            <w:vAlign w:val="center"/>
          </w:tcPr>
          <w:p>
            <w:pPr>
              <w:adjustRightInd w:val="0"/>
              <w:snapToGrid w:val="0"/>
              <w:spacing w:line="300" w:lineRule="exact"/>
              <w:jc w:val="center"/>
              <w:rPr>
                <w:kern w:val="0"/>
                <w:sz w:val="24"/>
                <w:szCs w:val="24"/>
              </w:rPr>
            </w:pPr>
            <w:r>
              <w:rPr>
                <w:rFonts w:hAnsi="宋体"/>
                <w:kern w:val="0"/>
                <w:sz w:val="24"/>
                <w:szCs w:val="24"/>
              </w:rPr>
              <w:t>总磷</w:t>
            </w:r>
          </w:p>
        </w:tc>
        <w:tc>
          <w:tcPr>
            <w:tcW w:w="990" w:type="dxa"/>
            <w:tcBorders>
              <w:top w:val="single" w:color="auto" w:sz="4" w:space="0"/>
              <w:left w:val="nil"/>
              <w:bottom w:val="single" w:color="auto" w:sz="4" w:space="0"/>
              <w:right w:val="single" w:color="auto" w:sz="4" w:space="0"/>
            </w:tcBorders>
            <w:vAlign w:val="center"/>
          </w:tcPr>
          <w:p>
            <w:pPr>
              <w:adjustRightInd w:val="0"/>
              <w:snapToGrid w:val="0"/>
              <w:spacing w:line="300" w:lineRule="exact"/>
              <w:jc w:val="center"/>
              <w:rPr>
                <w:sz w:val="24"/>
                <w:szCs w:val="24"/>
              </w:rPr>
            </w:pPr>
            <w:r>
              <w:rPr>
                <w:rFonts w:hAnsi="宋体"/>
                <w:sz w:val="24"/>
                <w:szCs w:val="24"/>
              </w:rPr>
              <w:t>氟化物</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1</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乌江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乌江干流</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大关桥</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毕节市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2</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乌江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偏岩河</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偏岩河口</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毕节市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adjustRightInd w:val="0"/>
              <w:snapToGrid w:val="0"/>
              <w:spacing w:line="300" w:lineRule="exact"/>
              <w:jc w:val="center"/>
            </w:pPr>
            <w:r>
              <w:rPr>
                <w:rFonts w:hint="eastAsia" w:ascii="宋体" w:hAnsi="宋体" w:cs="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Ⅰ</w:t>
            </w:r>
          </w:p>
        </w:tc>
        <w:tc>
          <w:tcPr>
            <w:tcW w:w="1282" w:type="dxa"/>
            <w:tcBorders>
              <w:top w:val="single" w:color="auto" w:sz="4" w:space="0"/>
              <w:left w:val="nil"/>
              <w:bottom w:val="single" w:color="auto" w:sz="4" w:space="0"/>
              <w:right w:val="single" w:color="auto" w:sz="4" w:space="0"/>
            </w:tcBorders>
          </w:tcPr>
          <w:p>
            <w:pPr>
              <w:jc w:val="center"/>
            </w:pPr>
            <w:r>
              <w:rPr>
                <w:rFonts w:hint="eastAsia" w:ascii="宋体" w:hAnsi="宋体" w:cs="宋体"/>
              </w:rPr>
              <w:t>Ⅱ</w:t>
            </w:r>
          </w:p>
        </w:tc>
        <w:tc>
          <w:tcPr>
            <w:tcW w:w="990" w:type="dxa"/>
            <w:tcBorders>
              <w:top w:val="single" w:color="auto" w:sz="4" w:space="0"/>
              <w:left w:val="nil"/>
              <w:bottom w:val="single" w:color="auto" w:sz="4" w:space="0"/>
              <w:right w:val="single" w:color="auto" w:sz="4" w:space="0"/>
            </w:tcBorders>
            <w:vAlign w:val="center"/>
          </w:tcPr>
          <w:p>
            <w:pPr>
              <w:jc w:val="center"/>
            </w:pPr>
            <w:r>
              <w:rPr>
                <w:rFonts w:hAnsi="宋体"/>
              </w:rPr>
              <w:t>Ⅰ</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3</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乌江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息烽河</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息烽河口</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贵阳市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Ⅴ</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rPr>
                <w:rFonts w:hAnsi="宋体"/>
              </w:rPr>
              <w:t>Ⅴ</w:t>
            </w:r>
          </w:p>
        </w:tc>
        <w:tc>
          <w:tcPr>
            <w:tcW w:w="990" w:type="dxa"/>
            <w:tcBorders>
              <w:top w:val="single" w:color="auto" w:sz="4" w:space="0"/>
              <w:left w:val="nil"/>
              <w:bottom w:val="single" w:color="auto" w:sz="4" w:space="0"/>
              <w:right w:val="single" w:color="auto" w:sz="4" w:space="0"/>
            </w:tcBorders>
            <w:vAlign w:val="center"/>
          </w:tcPr>
          <w:p>
            <w:pPr>
              <w:jc w:val="center"/>
            </w:pPr>
            <w:r>
              <w:rPr>
                <w:rFonts w:hAnsi="宋体"/>
              </w:rPr>
              <w:t>Ⅰ</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4</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乌江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瓮安河</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天</w:t>
            </w:r>
            <w:r>
              <w:rPr>
                <w:rFonts w:hint="eastAsia" w:hAnsi="宋体"/>
              </w:rPr>
              <w:t xml:space="preserve">  </w:t>
            </w:r>
            <w:r>
              <w:rPr>
                <w:rFonts w:hAnsi="宋体"/>
              </w:rPr>
              <w:t>文</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黔南州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Ⅴ</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rPr>
                <w:rFonts w:hAnsi="宋体"/>
              </w:rPr>
              <w:t>Ⅴ</w:t>
            </w:r>
          </w:p>
        </w:tc>
        <w:tc>
          <w:tcPr>
            <w:tcW w:w="990" w:type="dxa"/>
            <w:tcBorders>
              <w:top w:val="single" w:color="auto" w:sz="4" w:space="0"/>
              <w:left w:val="nil"/>
              <w:bottom w:val="single" w:color="auto" w:sz="4" w:space="0"/>
              <w:right w:val="single" w:color="auto" w:sz="4" w:space="0"/>
            </w:tcBorders>
            <w:vAlign w:val="center"/>
          </w:tcPr>
          <w:p>
            <w:pPr>
              <w:jc w:val="center"/>
            </w:pPr>
            <w:r>
              <w:rPr>
                <w:rFonts w:hAnsi="宋体"/>
              </w:rPr>
              <w:t>Ⅰ</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5</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沅水</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清水江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白</w:t>
            </w:r>
            <w:r>
              <w:rPr>
                <w:rFonts w:hint="eastAsia" w:hAnsi="宋体"/>
              </w:rPr>
              <w:t xml:space="preserve">  </w:t>
            </w:r>
            <w:r>
              <w:rPr>
                <w:rFonts w:hAnsi="宋体"/>
              </w:rPr>
              <w:t>市</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黔东南州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Ⅲ</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Ⅰ</w:t>
            </w:r>
          </w:p>
        </w:tc>
        <w:tc>
          <w:tcPr>
            <w:tcW w:w="1282" w:type="dxa"/>
            <w:tcBorders>
              <w:top w:val="single" w:color="auto" w:sz="4" w:space="0"/>
              <w:left w:val="nil"/>
              <w:bottom w:val="single" w:color="auto" w:sz="4" w:space="0"/>
              <w:right w:val="single" w:color="auto" w:sz="4" w:space="0"/>
            </w:tcBorders>
          </w:tcPr>
          <w:p>
            <w:pPr>
              <w:jc w:val="center"/>
            </w:pPr>
            <w:r>
              <w:rPr>
                <w:rFonts w:hAnsi="宋体"/>
              </w:rPr>
              <w:t>Ⅱ</w:t>
            </w:r>
          </w:p>
        </w:tc>
        <w:tc>
          <w:tcPr>
            <w:tcW w:w="990" w:type="dxa"/>
            <w:tcBorders>
              <w:top w:val="single" w:color="auto" w:sz="4" w:space="0"/>
              <w:left w:val="nil"/>
              <w:bottom w:val="single" w:color="auto" w:sz="4" w:space="0"/>
              <w:right w:val="single" w:color="auto" w:sz="4" w:space="0"/>
            </w:tcBorders>
            <w:vAlign w:val="center"/>
          </w:tcPr>
          <w:p>
            <w:pPr>
              <w:jc w:val="center"/>
              <w:textAlignment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6</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三岔河</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叉</w:t>
            </w:r>
            <w:r>
              <w:rPr>
                <w:rFonts w:hint="eastAsia" w:hAnsi="宋体"/>
              </w:rPr>
              <w:t xml:space="preserve">  </w:t>
            </w:r>
            <w:r>
              <w:rPr>
                <w:rFonts w:hAnsi="宋体"/>
              </w:rPr>
              <w:t>河</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毕节市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7</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岔河口</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黔西南州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Ⅲ</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8</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黄果树</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安顺市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Ⅰ</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9</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北盘江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坝</w:t>
            </w:r>
            <w:r>
              <w:rPr>
                <w:rFonts w:hint="eastAsia"/>
              </w:rPr>
              <w:t xml:space="preserve">  </w:t>
            </w:r>
            <w:r>
              <w:rPr>
                <w:rFonts w:hAnsi="宋体"/>
              </w:rPr>
              <w:t>草</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黔西南</w:t>
            </w:r>
            <w:r>
              <w:rPr>
                <w:rFonts w:hint="eastAsia" w:hAnsi="宋体"/>
                <w:lang w:val="en-US" w:eastAsia="zh-CN"/>
              </w:rPr>
              <w:t>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int="eastAsia"/>
              </w:rPr>
              <w:t>/</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int="eastAsia"/>
              </w:rPr>
              <w:t>/</w:t>
            </w:r>
          </w:p>
        </w:tc>
        <w:tc>
          <w:tcPr>
            <w:tcW w:w="698" w:type="dxa"/>
            <w:tcBorders>
              <w:top w:val="single" w:color="auto" w:sz="4" w:space="0"/>
              <w:left w:val="nil"/>
              <w:bottom w:val="single" w:color="auto" w:sz="4" w:space="0"/>
              <w:right w:val="single" w:color="auto" w:sz="4" w:space="0"/>
            </w:tcBorders>
            <w:vAlign w:val="center"/>
          </w:tcPr>
          <w:p>
            <w:pPr>
              <w:jc w:val="center"/>
            </w:pPr>
            <w:r>
              <w:rPr>
                <w:rFonts w:hint="eastAsia"/>
              </w:rPr>
              <w:t>/</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10</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南盘江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南盘江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三江口</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黔西南</w:t>
            </w:r>
            <w:r>
              <w:rPr>
                <w:rFonts w:hint="eastAsia" w:hAnsi="宋体"/>
                <w:lang w:val="en-US" w:eastAsia="zh-CN"/>
              </w:rPr>
              <w:t>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Ⅲ</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11</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红水河</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涟</w:t>
            </w:r>
            <w:r>
              <w:rPr>
                <w:rFonts w:hint="eastAsia"/>
              </w:rPr>
              <w:t xml:space="preserve">  </w:t>
            </w:r>
            <w:r>
              <w:rPr>
                <w:rFonts w:hAnsi="宋体"/>
              </w:rPr>
              <w:t>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青</w:t>
            </w:r>
            <w:r>
              <w:rPr>
                <w:rFonts w:hint="eastAsia"/>
              </w:rPr>
              <w:t xml:space="preserve">  </w:t>
            </w:r>
            <w:r>
              <w:rPr>
                <w:rFonts w:hAnsi="宋体"/>
              </w:rPr>
              <w:t>岩</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贵阳市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12</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红水河</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红水河</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罗</w:t>
            </w:r>
            <w:r>
              <w:rPr>
                <w:rFonts w:hint="eastAsia"/>
              </w:rPr>
              <w:t xml:space="preserve">  </w:t>
            </w:r>
            <w:r>
              <w:rPr>
                <w:rFonts w:hAnsi="宋体"/>
              </w:rPr>
              <w:t>羊</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黔南州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Ⅲ</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Ⅲ</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13</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柳</w:t>
            </w:r>
            <w:r>
              <w:t> </w:t>
            </w:r>
            <w:r>
              <w:rPr>
                <w:rFonts w:hAnsi="宋体"/>
              </w:rPr>
              <w:t>江</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都柳江</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新</w:t>
            </w:r>
            <w:r>
              <w:rPr>
                <w:rFonts w:hint="eastAsia"/>
              </w:rPr>
              <w:t xml:space="preserve">  </w:t>
            </w:r>
            <w:r>
              <w:rPr>
                <w:rFonts w:hAnsi="宋体"/>
              </w:rPr>
              <w:t>华</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黔东南州</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Ⅱ</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Ⅱ</w:t>
            </w:r>
          </w:p>
        </w:tc>
        <w:tc>
          <w:tcPr>
            <w:tcW w:w="1282" w:type="dxa"/>
            <w:tcBorders>
              <w:top w:val="single" w:color="auto" w:sz="4" w:space="0"/>
              <w:left w:val="nil"/>
              <w:bottom w:val="single" w:color="auto" w:sz="4" w:space="0"/>
              <w:right w:val="single" w:color="auto" w:sz="4" w:space="0"/>
            </w:tcBorders>
          </w:tcPr>
          <w:p>
            <w:pPr>
              <w:jc w:val="center"/>
            </w:pPr>
            <w:r>
              <w:rPr>
                <w:rFonts w:hAnsi="宋体"/>
              </w:rPr>
              <w:t>Ⅰ</w:t>
            </w:r>
          </w:p>
        </w:tc>
        <w:tc>
          <w:tcPr>
            <w:tcW w:w="990" w:type="dxa"/>
            <w:tcBorders>
              <w:top w:val="single" w:color="auto" w:sz="4" w:space="0"/>
              <w:left w:val="nil"/>
              <w:bottom w:val="single" w:color="auto" w:sz="4" w:space="0"/>
              <w:right w:val="single" w:color="auto" w:sz="4" w:space="0"/>
            </w:tcBorders>
            <w:vAlign w:val="center"/>
          </w:tcPr>
          <w:p>
            <w:pPr>
              <w:jc w:val="center"/>
            </w:pPr>
            <w:r>
              <w:rPr>
                <w:rFonts w:hAnsi="宋体"/>
              </w:rPr>
              <w:t>Ⅰ</w:t>
            </w:r>
          </w:p>
        </w:tc>
      </w:tr>
      <w:tr>
        <w:tblPrEx>
          <w:tblLayout w:type="fixed"/>
          <w:tblCellMar>
            <w:top w:w="0" w:type="dxa"/>
            <w:left w:w="108" w:type="dxa"/>
            <w:bottom w:w="0" w:type="dxa"/>
            <w:right w:w="108" w:type="dxa"/>
          </w:tblCellMar>
        </w:tblPrEx>
        <w:tc>
          <w:tcPr>
            <w:tcW w:w="572"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jc w:val="center"/>
              <w:rPr>
                <w:rFonts w:eastAsia="仿宋"/>
              </w:rPr>
            </w:pPr>
            <w:r>
              <w:rPr>
                <w:rFonts w:eastAsia="仿宋"/>
              </w:rPr>
              <w:t>14</w:t>
            </w:r>
          </w:p>
        </w:tc>
        <w:tc>
          <w:tcPr>
            <w:tcW w:w="993"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沅</w:t>
            </w:r>
            <w:r>
              <w:t> </w:t>
            </w:r>
            <w:r>
              <w:rPr>
                <w:rFonts w:hAnsi="宋体"/>
              </w:rPr>
              <w:t>水</w:t>
            </w:r>
          </w:p>
        </w:tc>
        <w:tc>
          <w:tcPr>
            <w:tcW w:w="99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舞阳河</w:t>
            </w:r>
          </w:p>
        </w:tc>
        <w:tc>
          <w:tcPr>
            <w:tcW w:w="1172"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玉</w:t>
            </w:r>
            <w:r>
              <w:rPr>
                <w:rFonts w:hint="eastAsia"/>
              </w:rPr>
              <w:t xml:space="preserve">  </w:t>
            </w:r>
            <w:r>
              <w:rPr>
                <w:rFonts w:hAnsi="宋体"/>
              </w:rPr>
              <w:t>屏</w:t>
            </w:r>
          </w:p>
        </w:tc>
        <w:tc>
          <w:tcPr>
            <w:tcW w:w="1136"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textAlignment w:val="center"/>
            </w:pPr>
            <w:r>
              <w:rPr>
                <w:rFonts w:hAnsi="宋体"/>
              </w:rPr>
              <w:t>铜仁市</w:t>
            </w:r>
          </w:p>
        </w:tc>
        <w:tc>
          <w:tcPr>
            <w:tcW w:w="54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990" w:type="dxa"/>
            <w:tcBorders>
              <w:top w:val="single" w:color="auto" w:sz="4" w:space="0"/>
              <w:left w:val="nil"/>
              <w:bottom w:val="single" w:color="auto" w:sz="4" w:space="0"/>
              <w:right w:val="single" w:color="auto" w:sz="4" w:space="0"/>
            </w:tcBorders>
            <w:tcMar>
              <w:top w:w="0" w:type="dxa"/>
              <w:left w:w="0" w:type="dxa"/>
              <w:bottom w:w="0" w:type="dxa"/>
              <w:right w:w="0" w:type="dxa"/>
            </w:tcMar>
            <w:vAlign w:val="center"/>
          </w:tcPr>
          <w:p>
            <w:pPr>
              <w:jc w:val="center"/>
            </w:pPr>
            <w:r>
              <w:rPr>
                <w:rFonts w:hAnsi="宋体"/>
              </w:rPr>
              <w:t>Ⅰ</w:t>
            </w:r>
          </w:p>
        </w:tc>
        <w:tc>
          <w:tcPr>
            <w:tcW w:w="698" w:type="dxa"/>
            <w:tcBorders>
              <w:top w:val="single" w:color="auto" w:sz="4" w:space="0"/>
              <w:left w:val="nil"/>
              <w:bottom w:val="single" w:color="auto" w:sz="4" w:space="0"/>
              <w:right w:val="single" w:color="auto" w:sz="4" w:space="0"/>
            </w:tcBorders>
            <w:vAlign w:val="center"/>
          </w:tcPr>
          <w:p>
            <w:pPr>
              <w:jc w:val="center"/>
            </w:pPr>
            <w:r>
              <w:rPr>
                <w:rFonts w:hAnsi="宋体"/>
              </w:rPr>
              <w:t>Ⅰ</w:t>
            </w:r>
          </w:p>
        </w:tc>
        <w:tc>
          <w:tcPr>
            <w:tcW w:w="1282" w:type="dxa"/>
            <w:tcBorders>
              <w:top w:val="single" w:color="auto" w:sz="4" w:space="0"/>
              <w:left w:val="nil"/>
              <w:bottom w:val="single" w:color="auto" w:sz="4" w:space="0"/>
              <w:right w:val="single" w:color="auto" w:sz="4" w:space="0"/>
            </w:tcBorders>
          </w:tcPr>
          <w:p>
            <w:pPr>
              <w:jc w:val="center"/>
            </w:pPr>
            <w:r>
              <w:t>-</w:t>
            </w:r>
          </w:p>
        </w:tc>
        <w:tc>
          <w:tcPr>
            <w:tcW w:w="990" w:type="dxa"/>
            <w:tcBorders>
              <w:top w:val="single" w:color="auto" w:sz="4" w:space="0"/>
              <w:left w:val="nil"/>
              <w:bottom w:val="single" w:color="auto" w:sz="4" w:space="0"/>
              <w:right w:val="single" w:color="auto" w:sz="4" w:space="0"/>
            </w:tcBorders>
            <w:vAlign w:val="center"/>
          </w:tcPr>
          <w:p>
            <w:pPr>
              <w:jc w:val="center"/>
            </w:pPr>
            <w:r>
              <w:t>-</w:t>
            </w:r>
          </w:p>
        </w:tc>
      </w:tr>
    </w:tbl>
    <w:p>
      <w:pPr>
        <w:jc w:val="left"/>
        <w:rPr>
          <w:rFonts w:ascii="宋体"/>
          <w:sz w:val="24"/>
          <w:szCs w:val="24"/>
        </w:rPr>
      </w:pPr>
      <w:r>
        <w:rPr>
          <w:rFonts w:hint="eastAsia" w:ascii="宋体" w:hAnsi="宋体"/>
          <w:sz w:val="24"/>
          <w:szCs w:val="24"/>
        </w:rPr>
        <w:t>注:①表中乌江水系（除叉河、大关桥断面外）、柳江水系的水站安装有总磷、氟化物自动监测仪，其余未安装。②坝草站重建中。</w:t>
      </w:r>
    </w:p>
    <w:p>
      <w:pPr>
        <w:autoSpaceDE w:val="0"/>
        <w:autoSpaceDN w:val="0"/>
        <w:adjustRightInd w:val="0"/>
      </w:pPr>
    </w:p>
    <w:p>
      <w:pPr>
        <w:outlineLvl w:val="0"/>
        <w:rPr>
          <w:b/>
          <w:sz w:val="28"/>
          <w:szCs w:val="28"/>
        </w:rPr>
      </w:pPr>
      <w:r>
        <w:rPr>
          <w:rFonts w:hint="eastAsia"/>
          <w:b/>
          <w:sz w:val="28"/>
          <w:szCs w:val="28"/>
        </w:rPr>
        <w:t>三、集中式饮用水水源地水质</w:t>
      </w:r>
    </w:p>
    <w:p>
      <w:pPr>
        <w:rPr>
          <w:rFonts w:ascii="宋体" w:cs="宋体"/>
          <w:b/>
          <w:bCs/>
          <w:kern w:val="0"/>
          <w:sz w:val="28"/>
          <w:szCs w:val="28"/>
          <w:lang w:val="zh-CN"/>
        </w:rPr>
      </w:pPr>
      <w:r>
        <w:rPr>
          <w:b/>
          <w:sz w:val="28"/>
          <w:szCs w:val="28"/>
        </w:rPr>
        <w:t>1</w:t>
      </w:r>
      <w:r>
        <w:rPr>
          <w:rFonts w:hint="eastAsia" w:hAnsi="宋体"/>
          <w:b/>
          <w:sz w:val="28"/>
          <w:szCs w:val="28"/>
        </w:rPr>
        <w:t>、中心城市集中式饮用水水源地水质</w:t>
      </w:r>
      <w:r>
        <w:rPr>
          <w:rFonts w:hint="eastAsia" w:ascii="宋体" w:cs="宋体"/>
          <w:b/>
          <w:bCs/>
          <w:kern w:val="0"/>
          <w:sz w:val="28"/>
          <w:szCs w:val="28"/>
          <w:lang w:val="zh-CN"/>
        </w:rPr>
        <w:t>监测结果</w:t>
      </w:r>
    </w:p>
    <w:p>
      <w:pPr>
        <w:ind w:firstLine="420" w:firstLineChars="150"/>
        <w:rPr>
          <w:rFonts w:ascii="宋体" w:hAnsi="宋体"/>
          <w:sz w:val="28"/>
          <w:szCs w:val="28"/>
        </w:rPr>
      </w:pPr>
      <w:r>
        <w:rPr>
          <w:rFonts w:ascii="宋体" w:hAnsi="宋体"/>
          <w:sz w:val="28"/>
          <w:szCs w:val="28"/>
        </w:rPr>
        <w:t>201</w:t>
      </w:r>
      <w:r>
        <w:rPr>
          <w:rFonts w:hint="eastAsia" w:ascii="宋体" w:hAnsi="宋体"/>
          <w:sz w:val="28"/>
          <w:szCs w:val="28"/>
        </w:rPr>
        <w:t>6年8月，全省</w:t>
      </w:r>
      <w:r>
        <w:rPr>
          <w:rFonts w:ascii="宋体" w:hAnsi="宋体"/>
          <w:sz w:val="28"/>
          <w:szCs w:val="28"/>
        </w:rPr>
        <w:t>9</w:t>
      </w:r>
      <w:r>
        <w:rPr>
          <w:rFonts w:hint="eastAsia" w:ascii="宋体" w:hAnsi="宋体"/>
          <w:sz w:val="28"/>
          <w:szCs w:val="28"/>
        </w:rPr>
        <w:t>个中心城市的24个水源地水质全部达标，达标水量为4962.1949万吨，达标率为</w:t>
      </w:r>
      <w:r>
        <w:rPr>
          <w:rFonts w:ascii="宋体" w:hAnsi="宋体"/>
          <w:sz w:val="28"/>
          <w:szCs w:val="28"/>
        </w:rPr>
        <w:t>100%</w:t>
      </w:r>
      <w:r>
        <w:rPr>
          <w:rFonts w:hint="eastAsia" w:ascii="宋体" w:hAnsi="宋体"/>
          <w:sz w:val="28"/>
          <w:szCs w:val="28"/>
        </w:rPr>
        <w:t>，与上月及去年同期相比持平。</w:t>
      </w:r>
    </w:p>
    <w:p>
      <w:pPr>
        <w:jc w:val="center"/>
        <w:outlineLvl w:val="0"/>
        <w:rPr>
          <w:b/>
          <w:sz w:val="24"/>
          <w:szCs w:val="24"/>
        </w:rPr>
      </w:pPr>
      <w:r>
        <w:rPr>
          <w:rFonts w:hint="eastAsia"/>
          <w:b/>
          <w:sz w:val="24"/>
          <w:szCs w:val="24"/>
        </w:rPr>
        <w:t>2016年8月贵州省中心城市集中式饮用水水源地水质达标率</w:t>
      </w:r>
    </w:p>
    <w:tbl>
      <w:tblPr>
        <w:tblStyle w:val="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4"/>
        <w:gridCol w:w="2134"/>
        <w:gridCol w:w="2170"/>
        <w:gridCol w:w="2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序号</w:t>
            </w:r>
          </w:p>
        </w:tc>
        <w:tc>
          <w:tcPr>
            <w:tcW w:w="2134" w:type="dxa"/>
            <w:vAlign w:val="center"/>
          </w:tcPr>
          <w:p>
            <w:pPr>
              <w:jc w:val="center"/>
            </w:pPr>
            <w:r>
              <w:rPr>
                <w:rFonts w:hint="eastAsia"/>
              </w:rPr>
              <w:t>市州</w:t>
            </w:r>
          </w:p>
        </w:tc>
        <w:tc>
          <w:tcPr>
            <w:tcW w:w="2170" w:type="dxa"/>
            <w:vAlign w:val="center"/>
          </w:tcPr>
          <w:p>
            <w:pPr>
              <w:jc w:val="center"/>
            </w:pPr>
            <w:r>
              <w:rPr>
                <w:rFonts w:hint="eastAsia"/>
              </w:rPr>
              <w:t>达标率</w:t>
            </w:r>
            <w:r>
              <w:t>%</w:t>
            </w:r>
          </w:p>
        </w:tc>
        <w:tc>
          <w:tcPr>
            <w:tcW w:w="2134" w:type="dxa"/>
            <w:vAlign w:val="center"/>
          </w:tcPr>
          <w:p>
            <w:pPr>
              <w:jc w:val="center"/>
            </w:pPr>
            <w:r>
              <w:rPr>
                <w:rFonts w:hint="eastAsia"/>
              </w:rPr>
              <w:t>主要污染指标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1</w:t>
            </w:r>
          </w:p>
        </w:tc>
        <w:tc>
          <w:tcPr>
            <w:tcW w:w="2134" w:type="dxa"/>
            <w:vAlign w:val="center"/>
          </w:tcPr>
          <w:p>
            <w:pPr>
              <w:jc w:val="center"/>
            </w:pPr>
            <w:r>
              <w:rPr>
                <w:rFonts w:hint="eastAsia"/>
              </w:rPr>
              <w:t>贵阳市</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2</w:t>
            </w:r>
          </w:p>
        </w:tc>
        <w:tc>
          <w:tcPr>
            <w:tcW w:w="2134" w:type="dxa"/>
            <w:vAlign w:val="center"/>
          </w:tcPr>
          <w:p>
            <w:pPr>
              <w:jc w:val="center"/>
            </w:pPr>
            <w:r>
              <w:rPr>
                <w:rFonts w:hint="eastAsia"/>
              </w:rPr>
              <w:t>遵义市</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3</w:t>
            </w:r>
          </w:p>
        </w:tc>
        <w:tc>
          <w:tcPr>
            <w:tcW w:w="2134" w:type="dxa"/>
            <w:vAlign w:val="center"/>
          </w:tcPr>
          <w:p>
            <w:pPr>
              <w:jc w:val="center"/>
            </w:pPr>
            <w:r>
              <w:rPr>
                <w:rFonts w:hint="eastAsia"/>
              </w:rPr>
              <w:t>六盘水市</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4</w:t>
            </w:r>
          </w:p>
        </w:tc>
        <w:tc>
          <w:tcPr>
            <w:tcW w:w="2134" w:type="dxa"/>
            <w:vAlign w:val="center"/>
          </w:tcPr>
          <w:p>
            <w:pPr>
              <w:jc w:val="center"/>
            </w:pPr>
            <w:r>
              <w:rPr>
                <w:rFonts w:hint="eastAsia"/>
              </w:rPr>
              <w:t>安顺市</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5</w:t>
            </w:r>
          </w:p>
        </w:tc>
        <w:tc>
          <w:tcPr>
            <w:tcW w:w="2134" w:type="dxa"/>
            <w:vAlign w:val="center"/>
          </w:tcPr>
          <w:p>
            <w:pPr>
              <w:jc w:val="center"/>
            </w:pPr>
            <w:r>
              <w:rPr>
                <w:rFonts w:hint="eastAsia"/>
              </w:rPr>
              <w:t>毕节市</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6</w:t>
            </w:r>
          </w:p>
        </w:tc>
        <w:tc>
          <w:tcPr>
            <w:tcW w:w="2134" w:type="dxa"/>
            <w:vAlign w:val="center"/>
          </w:tcPr>
          <w:p>
            <w:pPr>
              <w:jc w:val="center"/>
            </w:pPr>
            <w:r>
              <w:rPr>
                <w:rFonts w:hint="eastAsia"/>
              </w:rPr>
              <w:t>铜仁市</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7</w:t>
            </w:r>
          </w:p>
        </w:tc>
        <w:tc>
          <w:tcPr>
            <w:tcW w:w="2134" w:type="dxa"/>
            <w:vAlign w:val="center"/>
          </w:tcPr>
          <w:p>
            <w:pPr>
              <w:jc w:val="center"/>
            </w:pPr>
            <w:r>
              <w:rPr>
                <w:rFonts w:hint="eastAsia"/>
              </w:rPr>
              <w:t>黔东南州</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8</w:t>
            </w:r>
          </w:p>
        </w:tc>
        <w:tc>
          <w:tcPr>
            <w:tcW w:w="2134" w:type="dxa"/>
            <w:vAlign w:val="center"/>
          </w:tcPr>
          <w:p>
            <w:pPr>
              <w:jc w:val="center"/>
            </w:pPr>
            <w:r>
              <w:rPr>
                <w:rFonts w:hint="eastAsia"/>
              </w:rPr>
              <w:t>黔南州</w:t>
            </w:r>
          </w:p>
        </w:tc>
        <w:tc>
          <w:tcPr>
            <w:tcW w:w="2170" w:type="dxa"/>
            <w:vAlign w:val="center"/>
          </w:tcPr>
          <w:p>
            <w:pPr>
              <w:jc w:val="center"/>
            </w:pPr>
            <w:r>
              <w:t>100</w:t>
            </w:r>
          </w:p>
        </w:tc>
        <w:tc>
          <w:tcPr>
            <w:tcW w:w="2134"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84" w:type="dxa"/>
          </w:tcPr>
          <w:p>
            <w:pPr>
              <w:jc w:val="center"/>
            </w:pPr>
            <w:r>
              <w:rPr>
                <w:rFonts w:hint="eastAsia"/>
              </w:rPr>
              <w:t>9</w:t>
            </w:r>
          </w:p>
        </w:tc>
        <w:tc>
          <w:tcPr>
            <w:tcW w:w="2134" w:type="dxa"/>
            <w:vAlign w:val="center"/>
          </w:tcPr>
          <w:p>
            <w:pPr>
              <w:jc w:val="center"/>
            </w:pPr>
            <w:r>
              <w:rPr>
                <w:rFonts w:hint="eastAsia"/>
              </w:rPr>
              <w:t>黔西南州</w:t>
            </w:r>
          </w:p>
        </w:tc>
        <w:tc>
          <w:tcPr>
            <w:tcW w:w="2170" w:type="dxa"/>
            <w:vAlign w:val="center"/>
          </w:tcPr>
          <w:p>
            <w:pPr>
              <w:jc w:val="center"/>
            </w:pPr>
            <w:r>
              <w:t>100</w:t>
            </w:r>
          </w:p>
        </w:tc>
        <w:tc>
          <w:tcPr>
            <w:tcW w:w="2134" w:type="dxa"/>
            <w:vAlign w:val="center"/>
          </w:tcPr>
          <w:p>
            <w:pPr>
              <w:jc w:val="center"/>
            </w:pPr>
          </w:p>
        </w:tc>
      </w:tr>
    </w:tbl>
    <w:p>
      <w:pPr>
        <w:jc w:val="center"/>
        <w:rPr>
          <w:rFonts w:ascii="宋体"/>
          <w:sz w:val="28"/>
          <w:szCs w:val="28"/>
        </w:rPr>
      </w:pPr>
    </w:p>
    <w:p>
      <w:pPr>
        <w:rPr>
          <w:sz w:val="28"/>
          <w:szCs w:val="28"/>
        </w:rPr>
      </w:pPr>
      <w:r>
        <w:rPr>
          <w:b/>
          <w:sz w:val="28"/>
          <w:szCs w:val="28"/>
        </w:rPr>
        <w:t>2</w:t>
      </w:r>
      <w:r>
        <w:rPr>
          <w:rFonts w:hint="eastAsia" w:hAnsi="宋体"/>
          <w:b/>
          <w:sz w:val="28"/>
          <w:szCs w:val="28"/>
        </w:rPr>
        <w:t>、</w:t>
      </w:r>
      <w:r>
        <w:rPr>
          <w:rFonts w:hint="eastAsia" w:hAnsi="宋体"/>
          <w:b/>
          <w:color w:val="000000"/>
          <w:sz w:val="28"/>
          <w:szCs w:val="28"/>
        </w:rPr>
        <w:t>县级城镇集中式饮用水水源地水质</w:t>
      </w:r>
      <w:r>
        <w:rPr>
          <w:rFonts w:hint="eastAsia" w:ascii="宋体" w:cs="宋体"/>
          <w:b/>
          <w:bCs/>
          <w:color w:val="000000"/>
          <w:kern w:val="0"/>
          <w:sz w:val="28"/>
          <w:szCs w:val="28"/>
          <w:lang w:val="zh-CN"/>
        </w:rPr>
        <w:t>监测结果</w:t>
      </w:r>
    </w:p>
    <w:p>
      <w:pPr>
        <w:ind w:firstLine="560" w:firstLineChars="200"/>
        <w:rPr>
          <w:rFonts w:ascii="宋体" w:hAnsi="宋体"/>
          <w:sz w:val="28"/>
          <w:szCs w:val="28"/>
        </w:rPr>
      </w:pPr>
      <w:r>
        <w:rPr>
          <w:rFonts w:hint="eastAsia" w:ascii="宋体" w:hAnsi="宋体"/>
          <w:sz w:val="28"/>
          <w:szCs w:val="28"/>
        </w:rPr>
        <w:t>2016年8月，全省9个市(州)74个县城共监测136个集中式饮用水水源地水质。其中15个水源地为备用水源没有取水量未统计取水量达标率。</w:t>
      </w:r>
    </w:p>
    <w:p>
      <w:pPr>
        <w:ind w:firstLine="560" w:firstLineChars="200"/>
        <w:outlineLvl w:val="0"/>
        <w:rPr>
          <w:rFonts w:ascii="宋体" w:hAnsi="宋体"/>
          <w:sz w:val="28"/>
          <w:szCs w:val="28"/>
        </w:rPr>
      </w:pPr>
      <w:r>
        <w:rPr>
          <w:rFonts w:hint="eastAsia" w:ascii="宋体" w:hAnsi="宋体"/>
          <w:sz w:val="28"/>
          <w:szCs w:val="28"/>
        </w:rPr>
        <w:t>1、水源地达标情况</w:t>
      </w:r>
    </w:p>
    <w:p>
      <w:pPr>
        <w:ind w:left="600"/>
        <w:rPr>
          <w:rFonts w:ascii="宋体" w:hAnsi="宋体"/>
          <w:sz w:val="28"/>
          <w:szCs w:val="28"/>
        </w:rPr>
      </w:pPr>
      <w:r>
        <w:rPr>
          <w:rFonts w:hint="eastAsia" w:ascii="宋体" w:hAnsi="宋体"/>
          <w:sz w:val="28"/>
          <w:szCs w:val="28"/>
        </w:rPr>
        <w:t>全省74个县级及以上城镇136个饮用水水源地水质均达标，全</w:t>
      </w:r>
    </w:p>
    <w:p>
      <w:pPr>
        <w:rPr>
          <w:rFonts w:ascii="宋体" w:hAnsi="宋体"/>
          <w:sz w:val="28"/>
          <w:szCs w:val="28"/>
        </w:rPr>
      </w:pPr>
      <w:r>
        <w:rPr>
          <w:rFonts w:hint="eastAsia" w:ascii="宋体" w:hAnsi="宋体"/>
          <w:sz w:val="28"/>
          <w:szCs w:val="28"/>
        </w:rPr>
        <w:t>省水源地个数达标率为100%，与上月（为100%）相比保持良好不变，比去年同期（99.3%）上升了0.7个百分点。</w:t>
      </w:r>
    </w:p>
    <w:p>
      <w:pPr>
        <w:jc w:val="center"/>
        <w:rPr>
          <w:b/>
          <w:sz w:val="24"/>
          <w:szCs w:val="24"/>
        </w:rPr>
      </w:pPr>
      <w:r>
        <w:rPr>
          <w:rFonts w:ascii="宋体" w:hAnsi="宋体"/>
          <w:b/>
          <w:sz w:val="24"/>
          <w:szCs w:val="24"/>
        </w:rPr>
        <w:t>201</w:t>
      </w:r>
      <w:r>
        <w:rPr>
          <w:rFonts w:hint="eastAsia" w:ascii="宋体" w:hAnsi="宋体"/>
          <w:b/>
          <w:sz w:val="24"/>
          <w:szCs w:val="24"/>
        </w:rPr>
        <w:t>6年8月贵州省</w:t>
      </w:r>
      <w:r>
        <w:rPr>
          <w:rFonts w:hint="eastAsia"/>
          <w:b/>
          <w:sz w:val="24"/>
          <w:szCs w:val="24"/>
        </w:rPr>
        <w:t>县级城镇集中式饮用水水源地水质个数达标率</w:t>
      </w:r>
    </w:p>
    <w:tbl>
      <w:tblPr>
        <w:tblStyle w:val="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34"/>
        <w:gridCol w:w="1276"/>
        <w:gridCol w:w="1701"/>
        <w:gridCol w:w="1843"/>
        <w:gridCol w:w="1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vAlign w:val="center"/>
          </w:tcPr>
          <w:p>
            <w:pPr>
              <w:jc w:val="center"/>
            </w:pPr>
            <w:r>
              <w:rPr>
                <w:rFonts w:hint="eastAsia"/>
              </w:rPr>
              <w:t>序号</w:t>
            </w:r>
          </w:p>
        </w:tc>
        <w:tc>
          <w:tcPr>
            <w:tcW w:w="1134" w:type="dxa"/>
            <w:vAlign w:val="center"/>
          </w:tcPr>
          <w:p>
            <w:pPr>
              <w:jc w:val="center"/>
            </w:pPr>
            <w:r>
              <w:rPr>
                <w:rFonts w:hint="eastAsia"/>
              </w:rPr>
              <w:t>市州</w:t>
            </w:r>
          </w:p>
        </w:tc>
        <w:tc>
          <w:tcPr>
            <w:tcW w:w="1276" w:type="dxa"/>
            <w:vAlign w:val="center"/>
          </w:tcPr>
          <w:p>
            <w:pPr>
              <w:jc w:val="center"/>
            </w:pPr>
            <w:r>
              <w:rPr>
                <w:rFonts w:hint="eastAsia"/>
              </w:rPr>
              <w:t>达标率</w:t>
            </w:r>
            <w:r>
              <w:t>%</w:t>
            </w:r>
          </w:p>
        </w:tc>
        <w:tc>
          <w:tcPr>
            <w:tcW w:w="1701" w:type="dxa"/>
            <w:vAlign w:val="center"/>
          </w:tcPr>
          <w:p>
            <w:pPr>
              <w:jc w:val="center"/>
            </w:pPr>
            <w:r>
              <w:rPr>
                <w:rFonts w:hint="eastAsia"/>
              </w:rPr>
              <w:t>主要污染指标</w:t>
            </w:r>
          </w:p>
        </w:tc>
        <w:tc>
          <w:tcPr>
            <w:tcW w:w="1843" w:type="dxa"/>
            <w:vAlign w:val="center"/>
          </w:tcPr>
          <w:p>
            <w:pPr>
              <w:jc w:val="center"/>
            </w:pPr>
            <w:r>
              <w:rPr>
                <w:rFonts w:hint="eastAsia"/>
              </w:rPr>
              <w:t>上月达标率%</w:t>
            </w:r>
          </w:p>
        </w:tc>
        <w:tc>
          <w:tcPr>
            <w:tcW w:w="1893" w:type="dxa"/>
            <w:vAlign w:val="center"/>
          </w:tcPr>
          <w:p>
            <w:pPr>
              <w:jc w:val="center"/>
            </w:pPr>
            <w:r>
              <w:rPr>
                <w:rFonts w:hint="eastAsia"/>
              </w:rPr>
              <w:t>去年同期达标率%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1</w:t>
            </w:r>
          </w:p>
        </w:tc>
        <w:tc>
          <w:tcPr>
            <w:tcW w:w="1134" w:type="dxa"/>
            <w:vAlign w:val="center"/>
          </w:tcPr>
          <w:p>
            <w:pPr>
              <w:jc w:val="center"/>
            </w:pPr>
            <w:r>
              <w:rPr>
                <w:rFonts w:hint="eastAsia"/>
              </w:rPr>
              <w:t>贵阳市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2</w:t>
            </w:r>
          </w:p>
        </w:tc>
        <w:tc>
          <w:tcPr>
            <w:tcW w:w="1134" w:type="dxa"/>
            <w:vAlign w:val="center"/>
          </w:tcPr>
          <w:p>
            <w:pPr>
              <w:jc w:val="center"/>
            </w:pPr>
            <w:r>
              <w:rPr>
                <w:rFonts w:hint="eastAsia"/>
              </w:rPr>
              <w:t>遵义市</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3</w:t>
            </w:r>
          </w:p>
        </w:tc>
        <w:tc>
          <w:tcPr>
            <w:tcW w:w="1134" w:type="dxa"/>
            <w:vAlign w:val="center"/>
          </w:tcPr>
          <w:p>
            <w:pPr>
              <w:jc w:val="center"/>
            </w:pPr>
            <w:r>
              <w:rPr>
                <w:rFonts w:hint="eastAsia"/>
              </w:rPr>
              <w:t>六盘水市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4</w:t>
            </w:r>
          </w:p>
        </w:tc>
        <w:tc>
          <w:tcPr>
            <w:tcW w:w="1134" w:type="dxa"/>
            <w:vAlign w:val="center"/>
          </w:tcPr>
          <w:p>
            <w:pPr>
              <w:jc w:val="center"/>
            </w:pPr>
            <w:r>
              <w:rPr>
                <w:rFonts w:hint="eastAsia"/>
              </w:rPr>
              <w:t>安顺市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5</w:t>
            </w:r>
          </w:p>
        </w:tc>
        <w:tc>
          <w:tcPr>
            <w:tcW w:w="1134" w:type="dxa"/>
            <w:vAlign w:val="center"/>
          </w:tcPr>
          <w:p>
            <w:pPr>
              <w:jc w:val="center"/>
            </w:pPr>
            <w:r>
              <w:rPr>
                <w:rFonts w:hint="eastAsia"/>
              </w:rPr>
              <w:t>毕节市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6</w:t>
            </w:r>
          </w:p>
        </w:tc>
        <w:tc>
          <w:tcPr>
            <w:tcW w:w="1134" w:type="dxa"/>
            <w:vAlign w:val="center"/>
          </w:tcPr>
          <w:p>
            <w:pPr>
              <w:jc w:val="center"/>
            </w:pPr>
            <w:r>
              <w:rPr>
                <w:rFonts w:hint="eastAsia"/>
              </w:rPr>
              <w:t>铜仁市</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r>
              <w:rPr>
                <w:rFonts w:hint="eastAsia"/>
              </w:rPr>
              <w:t>100</w:t>
            </w:r>
          </w:p>
        </w:tc>
        <w:tc>
          <w:tcPr>
            <w:tcW w:w="1893" w:type="dxa"/>
          </w:tcPr>
          <w:p>
            <w:pPr>
              <w:jc w:val="center"/>
            </w:pPr>
            <w:r>
              <w:rPr>
                <w:rFonts w:hint="eastAsia"/>
              </w:rPr>
              <w:t>94.7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7</w:t>
            </w:r>
          </w:p>
        </w:tc>
        <w:tc>
          <w:tcPr>
            <w:tcW w:w="1134" w:type="dxa"/>
            <w:vAlign w:val="center"/>
          </w:tcPr>
          <w:p>
            <w:pPr>
              <w:jc w:val="center"/>
            </w:pPr>
            <w:r>
              <w:rPr>
                <w:rFonts w:hint="eastAsia"/>
              </w:rPr>
              <w:t>黔东南州</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8</w:t>
            </w:r>
          </w:p>
        </w:tc>
        <w:tc>
          <w:tcPr>
            <w:tcW w:w="1134" w:type="dxa"/>
            <w:vAlign w:val="center"/>
          </w:tcPr>
          <w:p>
            <w:pPr>
              <w:jc w:val="center"/>
            </w:pPr>
            <w:r>
              <w:rPr>
                <w:rFonts w:hint="eastAsia"/>
              </w:rPr>
              <w:t>黔南州</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9</w:t>
            </w:r>
          </w:p>
        </w:tc>
        <w:tc>
          <w:tcPr>
            <w:tcW w:w="1134" w:type="dxa"/>
            <w:vAlign w:val="center"/>
          </w:tcPr>
          <w:p>
            <w:pPr>
              <w:jc w:val="center"/>
            </w:pPr>
            <w:r>
              <w:rPr>
                <w:rFonts w:hint="eastAsia"/>
              </w:rPr>
              <w:t>黔西南州</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p>
        </w:tc>
        <w:tc>
          <w:tcPr>
            <w:tcW w:w="1893" w:type="dxa"/>
          </w:tcPr>
          <w:p>
            <w:pPr>
              <w:jc w:val="center"/>
            </w:pPr>
          </w:p>
        </w:tc>
      </w:tr>
    </w:tbl>
    <w:p>
      <w:pPr>
        <w:ind w:firstLine="560" w:firstLineChars="200"/>
        <w:rPr>
          <w:rFonts w:ascii="宋体" w:hAnsi="宋体"/>
          <w:sz w:val="28"/>
          <w:szCs w:val="28"/>
        </w:rPr>
      </w:pPr>
      <w:r>
        <w:rPr>
          <w:rFonts w:hint="eastAsia" w:ascii="宋体" w:hAnsi="宋体"/>
          <w:sz w:val="28"/>
          <w:szCs w:val="28"/>
        </w:rPr>
        <w:t>2、水量达标情况</w:t>
      </w:r>
    </w:p>
    <w:p>
      <w:pPr>
        <w:ind w:firstLine="555"/>
        <w:rPr>
          <w:rFonts w:ascii="宋体" w:hAnsi="宋体"/>
          <w:sz w:val="28"/>
          <w:szCs w:val="28"/>
        </w:rPr>
      </w:pPr>
      <w:r>
        <w:rPr>
          <w:rFonts w:hint="eastAsia" w:ascii="宋体" w:hAnsi="宋体"/>
          <w:sz w:val="28"/>
          <w:szCs w:val="28"/>
        </w:rPr>
        <w:t>全省74个县级及以上城镇取水量为2960.809万吨，达标水量为2960.809万吨，水量达标率为100%，与上月（100%）相比保持良好不变，比去年同期（99.6%）上升了0.4个百分点。</w:t>
      </w:r>
    </w:p>
    <w:p>
      <w:pPr>
        <w:ind w:firstLine="555"/>
        <w:outlineLvl w:val="0"/>
        <w:rPr>
          <w:b/>
          <w:sz w:val="24"/>
          <w:szCs w:val="24"/>
        </w:rPr>
      </w:pPr>
      <w:r>
        <w:rPr>
          <w:rFonts w:ascii="宋体" w:hAnsi="宋体"/>
          <w:b/>
          <w:sz w:val="24"/>
          <w:szCs w:val="24"/>
        </w:rPr>
        <w:t>201</w:t>
      </w:r>
      <w:r>
        <w:rPr>
          <w:rFonts w:hint="eastAsia" w:ascii="宋体" w:hAnsi="宋体"/>
          <w:b/>
          <w:sz w:val="24"/>
          <w:szCs w:val="24"/>
        </w:rPr>
        <w:t>6年8月贵州省</w:t>
      </w:r>
      <w:r>
        <w:rPr>
          <w:rFonts w:hint="eastAsia"/>
          <w:b/>
          <w:sz w:val="24"/>
          <w:szCs w:val="24"/>
        </w:rPr>
        <w:t>县级城镇集中式饮用水水源地水质水量达标率</w:t>
      </w:r>
    </w:p>
    <w:tbl>
      <w:tblPr>
        <w:tblStyle w:val="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34"/>
        <w:gridCol w:w="1276"/>
        <w:gridCol w:w="1701"/>
        <w:gridCol w:w="1843"/>
        <w:gridCol w:w="1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序号</w:t>
            </w:r>
          </w:p>
        </w:tc>
        <w:tc>
          <w:tcPr>
            <w:tcW w:w="1134" w:type="dxa"/>
            <w:vAlign w:val="center"/>
          </w:tcPr>
          <w:p>
            <w:pPr>
              <w:jc w:val="center"/>
            </w:pPr>
            <w:r>
              <w:rPr>
                <w:rFonts w:hint="eastAsia"/>
              </w:rPr>
              <w:t>市州</w:t>
            </w:r>
          </w:p>
        </w:tc>
        <w:tc>
          <w:tcPr>
            <w:tcW w:w="1276" w:type="dxa"/>
            <w:vAlign w:val="center"/>
          </w:tcPr>
          <w:p>
            <w:pPr>
              <w:jc w:val="center"/>
            </w:pPr>
            <w:r>
              <w:rPr>
                <w:rFonts w:hint="eastAsia"/>
              </w:rPr>
              <w:t>达标率</w:t>
            </w:r>
            <w:r>
              <w:t>%</w:t>
            </w:r>
          </w:p>
        </w:tc>
        <w:tc>
          <w:tcPr>
            <w:tcW w:w="1701" w:type="dxa"/>
            <w:vAlign w:val="center"/>
          </w:tcPr>
          <w:p>
            <w:pPr>
              <w:jc w:val="center"/>
            </w:pPr>
            <w:r>
              <w:rPr>
                <w:rFonts w:hint="eastAsia"/>
              </w:rPr>
              <w:t>主要污染指标</w:t>
            </w:r>
          </w:p>
        </w:tc>
        <w:tc>
          <w:tcPr>
            <w:tcW w:w="1843" w:type="dxa"/>
          </w:tcPr>
          <w:p>
            <w:pPr>
              <w:jc w:val="center"/>
            </w:pPr>
            <w:r>
              <w:rPr>
                <w:rFonts w:hint="eastAsia"/>
              </w:rPr>
              <w:t>上月达标率%</w:t>
            </w:r>
          </w:p>
        </w:tc>
        <w:tc>
          <w:tcPr>
            <w:tcW w:w="1893" w:type="dxa"/>
          </w:tcPr>
          <w:p>
            <w:pPr>
              <w:jc w:val="center"/>
            </w:pPr>
            <w:r>
              <w:rPr>
                <w:rFonts w:hint="eastAsia"/>
              </w:rPr>
              <w:t>去年同期达标率%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1</w:t>
            </w:r>
          </w:p>
        </w:tc>
        <w:tc>
          <w:tcPr>
            <w:tcW w:w="1134" w:type="dxa"/>
            <w:vAlign w:val="center"/>
          </w:tcPr>
          <w:p>
            <w:pPr>
              <w:jc w:val="center"/>
            </w:pPr>
            <w:r>
              <w:rPr>
                <w:rFonts w:hint="eastAsia"/>
              </w:rPr>
              <w:t>贵阳市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2</w:t>
            </w:r>
          </w:p>
        </w:tc>
        <w:tc>
          <w:tcPr>
            <w:tcW w:w="1134" w:type="dxa"/>
            <w:vAlign w:val="center"/>
          </w:tcPr>
          <w:p>
            <w:pPr>
              <w:jc w:val="center"/>
            </w:pPr>
            <w:r>
              <w:rPr>
                <w:rFonts w:hint="eastAsia"/>
              </w:rPr>
              <w:t>遵义市</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3</w:t>
            </w:r>
          </w:p>
        </w:tc>
        <w:tc>
          <w:tcPr>
            <w:tcW w:w="1134" w:type="dxa"/>
            <w:vAlign w:val="center"/>
          </w:tcPr>
          <w:p>
            <w:pPr>
              <w:jc w:val="center"/>
            </w:pPr>
            <w:r>
              <w:rPr>
                <w:rFonts w:hint="eastAsia"/>
              </w:rPr>
              <w:t>六盘水市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4</w:t>
            </w:r>
          </w:p>
        </w:tc>
        <w:tc>
          <w:tcPr>
            <w:tcW w:w="1134" w:type="dxa"/>
            <w:vAlign w:val="center"/>
          </w:tcPr>
          <w:p>
            <w:pPr>
              <w:jc w:val="center"/>
            </w:pPr>
            <w:r>
              <w:rPr>
                <w:rFonts w:hint="eastAsia"/>
              </w:rPr>
              <w:t>安顺市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5</w:t>
            </w:r>
          </w:p>
        </w:tc>
        <w:tc>
          <w:tcPr>
            <w:tcW w:w="1134" w:type="dxa"/>
            <w:vAlign w:val="center"/>
          </w:tcPr>
          <w:p>
            <w:pPr>
              <w:jc w:val="center"/>
            </w:pPr>
            <w:r>
              <w:rPr>
                <w:rFonts w:hint="eastAsia"/>
              </w:rPr>
              <w:t>毕节市</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6</w:t>
            </w:r>
          </w:p>
        </w:tc>
        <w:tc>
          <w:tcPr>
            <w:tcW w:w="1134" w:type="dxa"/>
            <w:vAlign w:val="center"/>
          </w:tcPr>
          <w:p>
            <w:pPr>
              <w:jc w:val="center"/>
            </w:pPr>
            <w:r>
              <w:rPr>
                <w:rFonts w:hint="eastAsia"/>
              </w:rPr>
              <w:t>铜仁市</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r>
              <w:rPr>
                <w:rFonts w:hint="eastAsia"/>
              </w:rPr>
              <w:t>100</w:t>
            </w:r>
          </w:p>
        </w:tc>
        <w:tc>
          <w:tcPr>
            <w:tcW w:w="1893" w:type="dxa"/>
          </w:tcPr>
          <w:p>
            <w:pPr>
              <w:jc w:val="center"/>
            </w:pPr>
            <w:r>
              <w:rPr>
                <w:rFonts w:hint="eastAsia"/>
              </w:rPr>
              <w:t>97.2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7</w:t>
            </w:r>
          </w:p>
        </w:tc>
        <w:tc>
          <w:tcPr>
            <w:tcW w:w="1134" w:type="dxa"/>
            <w:vAlign w:val="center"/>
          </w:tcPr>
          <w:p>
            <w:pPr>
              <w:jc w:val="center"/>
            </w:pPr>
            <w:r>
              <w:rPr>
                <w:rFonts w:hint="eastAsia"/>
              </w:rPr>
              <w:t>黔东南州</w:t>
            </w:r>
          </w:p>
        </w:tc>
        <w:tc>
          <w:tcPr>
            <w:tcW w:w="1276" w:type="dxa"/>
            <w:vAlign w:val="center"/>
          </w:tcPr>
          <w:p>
            <w:pPr>
              <w:jc w:val="center"/>
            </w:pPr>
            <w: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8</w:t>
            </w:r>
          </w:p>
        </w:tc>
        <w:tc>
          <w:tcPr>
            <w:tcW w:w="1134" w:type="dxa"/>
            <w:vAlign w:val="center"/>
          </w:tcPr>
          <w:p>
            <w:pPr>
              <w:jc w:val="center"/>
            </w:pPr>
            <w:r>
              <w:rPr>
                <w:rFonts w:hint="eastAsia"/>
              </w:rPr>
              <w:t>黔南州</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p>
        </w:tc>
        <w:tc>
          <w:tcPr>
            <w:tcW w:w="189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5" w:type="dxa"/>
          </w:tcPr>
          <w:p>
            <w:pPr>
              <w:jc w:val="center"/>
            </w:pPr>
            <w:r>
              <w:rPr>
                <w:rFonts w:hint="eastAsia"/>
              </w:rPr>
              <w:t>9</w:t>
            </w:r>
          </w:p>
        </w:tc>
        <w:tc>
          <w:tcPr>
            <w:tcW w:w="1134" w:type="dxa"/>
            <w:vAlign w:val="center"/>
          </w:tcPr>
          <w:p>
            <w:pPr>
              <w:jc w:val="center"/>
            </w:pPr>
            <w:r>
              <w:rPr>
                <w:rFonts w:hint="eastAsia"/>
              </w:rPr>
              <w:t>黔西南州</w:t>
            </w:r>
          </w:p>
        </w:tc>
        <w:tc>
          <w:tcPr>
            <w:tcW w:w="1276" w:type="dxa"/>
            <w:vAlign w:val="center"/>
          </w:tcPr>
          <w:p>
            <w:pPr>
              <w:jc w:val="center"/>
            </w:pPr>
            <w:r>
              <w:rPr>
                <w:rFonts w:hint="eastAsia"/>
              </w:rPr>
              <w:t>100</w:t>
            </w:r>
          </w:p>
        </w:tc>
        <w:tc>
          <w:tcPr>
            <w:tcW w:w="1701" w:type="dxa"/>
            <w:vAlign w:val="center"/>
          </w:tcPr>
          <w:p>
            <w:pPr>
              <w:jc w:val="center"/>
            </w:pPr>
          </w:p>
        </w:tc>
        <w:tc>
          <w:tcPr>
            <w:tcW w:w="1843" w:type="dxa"/>
          </w:tcPr>
          <w:p>
            <w:pPr>
              <w:jc w:val="center"/>
            </w:pPr>
          </w:p>
        </w:tc>
        <w:tc>
          <w:tcPr>
            <w:tcW w:w="1893" w:type="dxa"/>
          </w:tcPr>
          <w:p>
            <w:pPr>
              <w:jc w:val="center"/>
            </w:pPr>
          </w:p>
        </w:tc>
      </w:tr>
    </w:tbl>
    <w:p>
      <w:pPr>
        <w:rPr>
          <w:rFonts w:ascii="宋体" w:cs="宋体"/>
          <w:kern w:val="0"/>
          <w:szCs w:val="21"/>
          <w:lang w:val="zh-CN"/>
        </w:rPr>
      </w:pPr>
      <w:r>
        <w:t>*</w:t>
      </w:r>
      <w:r>
        <w:rPr>
          <w:rFonts w:hint="eastAsia" w:ascii="宋体" w:cs="宋体"/>
          <w:kern w:val="0"/>
          <w:szCs w:val="21"/>
          <w:lang w:val="zh-CN"/>
        </w:rPr>
        <w:t>注：饮用水源地水质为自来水厂处理前水质，城市供水水质见住建部门提供的《贵州省城镇供水水质自检情况公示表》（见附件）。</w:t>
      </w:r>
    </w:p>
    <w:p>
      <w:pPr>
        <w:rPr>
          <w:rFonts w:ascii="宋体" w:cs="宋体"/>
          <w:kern w:val="0"/>
          <w:szCs w:val="21"/>
          <w:lang w:val="zh-CN"/>
        </w:rPr>
      </w:pPr>
    </w:p>
    <w:p>
      <w:pPr>
        <w:rPr>
          <w:rFonts w:hAnsi="宋体"/>
          <w:b/>
          <w:sz w:val="28"/>
          <w:szCs w:val="28"/>
        </w:rPr>
      </w:pPr>
      <w:r>
        <w:rPr>
          <w:rFonts w:hint="eastAsia" w:hAnsi="宋体"/>
          <w:b/>
          <w:sz w:val="28"/>
          <w:szCs w:val="28"/>
        </w:rPr>
        <w:t>四、贵州省2016年第一季度城镇供水水质自检情况公示表</w:t>
      </w:r>
    </w:p>
    <w:p>
      <w:pPr>
        <w:ind w:firstLine="551" w:firstLineChars="196"/>
        <w:rPr>
          <w:b/>
          <w:sz w:val="28"/>
          <w:szCs w:val="28"/>
        </w:rPr>
      </w:pPr>
      <w:r>
        <w:rPr>
          <w:rFonts w:hint="eastAsia" w:hAnsi="宋体"/>
          <w:b/>
          <w:sz w:val="28"/>
          <w:szCs w:val="28"/>
        </w:rPr>
        <w:t>（省住建厅提供）</w:t>
      </w:r>
    </w:p>
    <w:p/>
    <w:p>
      <w:pPr>
        <w:rPr>
          <w:rFonts w:ascii="Times New Roman" w:hAnsi="宋体"/>
          <w:color w:val="000000"/>
          <w:sz w:val="28"/>
          <w:szCs w:val="28"/>
        </w:rPr>
      </w:pPr>
      <w:r>
        <w:rPr>
          <w:rFonts w:ascii="Times New Roman" w:hAnsi="宋体"/>
          <w:color w:val="000000"/>
          <w:sz w:val="28"/>
          <w:szCs w:val="28"/>
        </w:rPr>
        <w:drawing>
          <wp:inline distT="0" distB="0" distL="0" distR="0">
            <wp:extent cx="5467350" cy="7943850"/>
            <wp:effectExtent l="19050" t="0" r="0" b="0"/>
            <wp:docPr id="3" name="图片 1" descr=")KPFF(NE3D]47@{MEWKUK%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KPFF(NE3D]47@{MEWKUK%H"/>
                    <pic:cNvPicPr>
                      <a:picLocks noChangeAspect="1" noChangeArrowheads="1"/>
                    </pic:cNvPicPr>
                  </pic:nvPicPr>
                  <pic:blipFill>
                    <a:blip r:embed="rId4" cstate="print"/>
                    <a:srcRect/>
                    <a:stretch>
                      <a:fillRect/>
                    </a:stretch>
                  </pic:blipFill>
                  <pic:spPr>
                    <a:xfrm>
                      <a:off x="0" y="0"/>
                      <a:ext cx="5467350" cy="7943850"/>
                    </a:xfrm>
                    <a:prstGeom prst="rect">
                      <a:avLst/>
                    </a:prstGeom>
                    <a:noFill/>
                    <a:ln w="9525">
                      <a:noFill/>
                      <a:miter lim="800000"/>
                      <a:headEnd/>
                      <a:tailEnd/>
                    </a:ln>
                  </pic:spPr>
                </pic:pic>
              </a:graphicData>
            </a:graphic>
          </wp:inline>
        </w:drawing>
      </w:r>
    </w:p>
    <w:p>
      <w:pPr>
        <w:rPr>
          <w:rFonts w:ascii="Times New Roman" w:hAnsi="宋体"/>
          <w:color w:val="000000"/>
          <w:sz w:val="28"/>
          <w:szCs w:val="28"/>
        </w:rPr>
      </w:pPr>
    </w:p>
    <w:p>
      <w:pPr>
        <w:rPr>
          <w:rFonts w:ascii="Times New Roman" w:hAnsi="宋体"/>
          <w:color w:val="000000"/>
          <w:sz w:val="28"/>
          <w:szCs w:val="28"/>
        </w:rPr>
      </w:pPr>
    </w:p>
    <w:p>
      <w:pPr>
        <w:rPr>
          <w:rFonts w:ascii="Times New Roman" w:hAnsi="宋体"/>
          <w:color w:val="000000"/>
          <w:sz w:val="28"/>
          <w:szCs w:val="28"/>
        </w:rPr>
      </w:pPr>
      <w:r>
        <w:rPr>
          <w:rFonts w:ascii="Times New Roman" w:hAnsi="宋体"/>
          <w:color w:val="000000"/>
          <w:sz w:val="28"/>
          <w:szCs w:val="28"/>
        </w:rPr>
        <w:drawing>
          <wp:inline distT="0" distB="0" distL="0" distR="0">
            <wp:extent cx="5715000" cy="8315325"/>
            <wp:effectExtent l="19050" t="0" r="0" b="0"/>
            <wp:docPr id="4" name="图片 2" descr="VSKHH_U_D41%RBR_{RRMV`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VSKHH_U_D41%RBR_{RRMV`I"/>
                    <pic:cNvPicPr>
                      <a:picLocks noChangeAspect="1" noChangeArrowheads="1"/>
                    </pic:cNvPicPr>
                  </pic:nvPicPr>
                  <pic:blipFill>
                    <a:blip r:embed="rId5" cstate="print"/>
                    <a:srcRect/>
                    <a:stretch>
                      <a:fillRect/>
                    </a:stretch>
                  </pic:blipFill>
                  <pic:spPr>
                    <a:xfrm>
                      <a:off x="0" y="0"/>
                      <a:ext cx="5715000" cy="8315325"/>
                    </a:xfrm>
                    <a:prstGeom prst="rect">
                      <a:avLst/>
                    </a:prstGeom>
                    <a:noFill/>
                    <a:ln w="9525">
                      <a:noFill/>
                      <a:miter lim="800000"/>
                      <a:headEnd/>
                      <a:tailEnd/>
                    </a:ln>
                  </pic:spPr>
                </pic:pic>
              </a:graphicData>
            </a:graphic>
          </wp:inline>
        </w:drawing>
      </w:r>
    </w:p>
    <w:p>
      <w:pPr>
        <w:rPr>
          <w:rFonts w:ascii="Times New Roman" w:hAnsi="宋体"/>
          <w:color w:val="000000"/>
          <w:sz w:val="28"/>
          <w:szCs w:val="28"/>
        </w:rPr>
      </w:pPr>
    </w:p>
    <w:p>
      <w:pPr>
        <w:rPr>
          <w:rFonts w:ascii="Times New Roman" w:hAnsi="宋体"/>
          <w:color w:val="000000"/>
          <w:sz w:val="28"/>
          <w:szCs w:val="28"/>
        </w:rPr>
      </w:pPr>
      <w:r>
        <w:rPr>
          <w:rFonts w:ascii="Times New Roman" w:hAnsi="宋体"/>
          <w:color w:val="000000"/>
          <w:sz w:val="28"/>
          <w:szCs w:val="28"/>
        </w:rPr>
        <w:drawing>
          <wp:inline distT="0" distB="0" distL="0" distR="0">
            <wp:extent cx="5759450" cy="7816215"/>
            <wp:effectExtent l="19050" t="0" r="0" b="0"/>
            <wp:docPr id="6" name="图片 3" descr="}MW4R)61[KL%KQ13R$$4F6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MW4R)61[KL%KQ13R$$4F6A"/>
                    <pic:cNvPicPr>
                      <a:picLocks noChangeAspect="1" noChangeArrowheads="1"/>
                    </pic:cNvPicPr>
                  </pic:nvPicPr>
                  <pic:blipFill>
                    <a:blip r:embed="rId6" cstate="print"/>
                    <a:srcRect/>
                    <a:stretch>
                      <a:fillRect/>
                    </a:stretch>
                  </pic:blipFill>
                  <pic:spPr>
                    <a:xfrm>
                      <a:off x="0" y="0"/>
                      <a:ext cx="5759450" cy="7816396"/>
                    </a:xfrm>
                    <a:prstGeom prst="rect">
                      <a:avLst/>
                    </a:prstGeom>
                    <a:noFill/>
                    <a:ln w="9525">
                      <a:noFill/>
                      <a:miter lim="800000"/>
                      <a:headEnd/>
                      <a:tailEnd/>
                    </a:ln>
                  </pic:spPr>
                </pic:pic>
              </a:graphicData>
            </a:graphic>
          </wp:inline>
        </w:drawing>
      </w:r>
    </w:p>
    <w:p>
      <w:pPr>
        <w:rPr>
          <w:rFonts w:ascii="Times New Roman" w:hAnsi="宋体"/>
          <w:color w:val="000000"/>
          <w:sz w:val="28"/>
          <w:szCs w:val="28"/>
        </w:rPr>
      </w:pPr>
    </w:p>
    <w:p>
      <w:pPr>
        <w:rPr>
          <w:rFonts w:ascii="Times New Roman" w:hAnsi="宋体"/>
          <w:color w:val="000000"/>
          <w:sz w:val="28"/>
          <w:szCs w:val="28"/>
        </w:rPr>
      </w:pPr>
    </w:p>
    <w:p>
      <w:pPr>
        <w:rPr>
          <w:rFonts w:ascii="Times New Roman" w:hAnsi="宋体"/>
          <w:color w:val="000000"/>
          <w:sz w:val="28"/>
          <w:szCs w:val="28"/>
        </w:rPr>
      </w:pPr>
      <w:r>
        <w:rPr>
          <w:rFonts w:ascii="Times New Roman" w:hAnsi="宋体"/>
          <w:color w:val="000000"/>
          <w:sz w:val="28"/>
          <w:szCs w:val="28"/>
        </w:rPr>
        <w:drawing>
          <wp:inline distT="0" distB="0" distL="0" distR="0">
            <wp:extent cx="5759450" cy="7879080"/>
            <wp:effectExtent l="19050" t="0" r="0" b="0"/>
            <wp:docPr id="7" name="图片 4" descr="L2S`[}[L$~NM7LKW4C$`]U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L2S`[}[L$~NM7LKW4C$`]U9"/>
                    <pic:cNvPicPr>
                      <a:picLocks noChangeAspect="1" noChangeArrowheads="1"/>
                    </pic:cNvPicPr>
                  </pic:nvPicPr>
                  <pic:blipFill>
                    <a:blip r:embed="rId7" cstate="print"/>
                    <a:srcRect/>
                    <a:stretch>
                      <a:fillRect/>
                    </a:stretch>
                  </pic:blipFill>
                  <pic:spPr>
                    <a:xfrm>
                      <a:off x="0" y="0"/>
                      <a:ext cx="5759450" cy="7879493"/>
                    </a:xfrm>
                    <a:prstGeom prst="rect">
                      <a:avLst/>
                    </a:prstGeom>
                    <a:noFill/>
                    <a:ln w="9525">
                      <a:noFill/>
                      <a:miter lim="800000"/>
                      <a:headEnd/>
                      <a:tailEnd/>
                    </a:ln>
                  </pic:spPr>
                </pic:pic>
              </a:graphicData>
            </a:graphic>
          </wp:inline>
        </w:drawing>
      </w:r>
    </w:p>
    <w:p>
      <w:pPr>
        <w:rPr>
          <w:rFonts w:ascii="Times New Roman" w:hAnsi="宋体"/>
          <w:color w:val="000000"/>
          <w:sz w:val="28"/>
          <w:szCs w:val="28"/>
        </w:rPr>
      </w:pPr>
    </w:p>
    <w:p>
      <w:pPr>
        <w:rPr>
          <w:rFonts w:ascii="Times New Roman" w:hAnsi="宋体"/>
          <w:color w:val="000000"/>
          <w:sz w:val="28"/>
          <w:szCs w:val="28"/>
        </w:rPr>
      </w:pPr>
    </w:p>
    <w:p>
      <w:pPr>
        <w:rPr>
          <w:rFonts w:ascii="Times New Roman" w:hAnsi="宋体"/>
          <w:color w:val="000000"/>
          <w:sz w:val="28"/>
          <w:szCs w:val="28"/>
        </w:rPr>
      </w:pPr>
      <w:r>
        <w:rPr>
          <w:rFonts w:ascii="Times New Roman" w:hAnsi="宋体"/>
          <w:color w:val="000000"/>
          <w:sz w:val="28"/>
          <w:szCs w:val="28"/>
        </w:rPr>
        <w:drawing>
          <wp:inline distT="0" distB="0" distL="0" distR="0">
            <wp:extent cx="5759450" cy="7675880"/>
            <wp:effectExtent l="19050" t="0" r="0" b="0"/>
            <wp:docPr id="8" name="图片 5" descr="UI}OAAQPK2UOE884X1GDKI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UI}OAAQPK2UOE884X1GDKIW"/>
                    <pic:cNvPicPr>
                      <a:picLocks noChangeAspect="1" noChangeArrowheads="1"/>
                    </pic:cNvPicPr>
                  </pic:nvPicPr>
                  <pic:blipFill>
                    <a:blip r:embed="rId8" cstate="print"/>
                    <a:srcRect/>
                    <a:stretch>
                      <a:fillRect/>
                    </a:stretch>
                  </pic:blipFill>
                  <pic:spPr>
                    <a:xfrm>
                      <a:off x="0" y="0"/>
                      <a:ext cx="5759450" cy="7676281"/>
                    </a:xfrm>
                    <a:prstGeom prst="rect">
                      <a:avLst/>
                    </a:prstGeom>
                    <a:noFill/>
                    <a:ln w="9525">
                      <a:noFill/>
                      <a:miter lim="800000"/>
                      <a:headEnd/>
                      <a:tailEnd/>
                    </a:ln>
                  </pic:spPr>
                </pic:pic>
              </a:graphicData>
            </a:graphic>
          </wp:inline>
        </w:drawing>
      </w:r>
    </w:p>
    <w:sectPr>
      <w:pgSz w:w="11906" w:h="16838"/>
      <w:pgMar w:top="1418" w:right="1418" w:bottom="1418" w:left="1418"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B174B2"/>
    <w:multiLevelType w:val="multilevel"/>
    <w:tmpl w:val="3DB174B2"/>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54763"/>
    <w:rsid w:val="00031B45"/>
    <w:rsid w:val="000352C8"/>
    <w:rsid w:val="000529B7"/>
    <w:rsid w:val="000563BA"/>
    <w:rsid w:val="000625EB"/>
    <w:rsid w:val="00071862"/>
    <w:rsid w:val="00072D0D"/>
    <w:rsid w:val="00075163"/>
    <w:rsid w:val="00080181"/>
    <w:rsid w:val="0008535B"/>
    <w:rsid w:val="000977B5"/>
    <w:rsid w:val="000B00AF"/>
    <w:rsid w:val="000C2D38"/>
    <w:rsid w:val="000D1F14"/>
    <w:rsid w:val="000D2F05"/>
    <w:rsid w:val="000E6438"/>
    <w:rsid w:val="000F5D1F"/>
    <w:rsid w:val="00102120"/>
    <w:rsid w:val="00120144"/>
    <w:rsid w:val="0012210B"/>
    <w:rsid w:val="00125408"/>
    <w:rsid w:val="001451A4"/>
    <w:rsid w:val="0015753A"/>
    <w:rsid w:val="0016035D"/>
    <w:rsid w:val="00192E25"/>
    <w:rsid w:val="00197BAE"/>
    <w:rsid w:val="001A1615"/>
    <w:rsid w:val="001B1EE7"/>
    <w:rsid w:val="001B3A4A"/>
    <w:rsid w:val="001B44A3"/>
    <w:rsid w:val="001B7D7F"/>
    <w:rsid w:val="001C2B13"/>
    <w:rsid w:val="001D7B08"/>
    <w:rsid w:val="001D7FE2"/>
    <w:rsid w:val="002110C1"/>
    <w:rsid w:val="00211462"/>
    <w:rsid w:val="00213E13"/>
    <w:rsid w:val="00231C13"/>
    <w:rsid w:val="0023250B"/>
    <w:rsid w:val="00245349"/>
    <w:rsid w:val="00253E44"/>
    <w:rsid w:val="002766C6"/>
    <w:rsid w:val="00280AF0"/>
    <w:rsid w:val="00294D7F"/>
    <w:rsid w:val="002A2265"/>
    <w:rsid w:val="002A3CBE"/>
    <w:rsid w:val="002A450E"/>
    <w:rsid w:val="002C1427"/>
    <w:rsid w:val="002D22E9"/>
    <w:rsid w:val="002D5A50"/>
    <w:rsid w:val="003056C8"/>
    <w:rsid w:val="003125A3"/>
    <w:rsid w:val="00323FC0"/>
    <w:rsid w:val="0032706F"/>
    <w:rsid w:val="0033674C"/>
    <w:rsid w:val="00341119"/>
    <w:rsid w:val="00342C25"/>
    <w:rsid w:val="00343CAE"/>
    <w:rsid w:val="003632D3"/>
    <w:rsid w:val="00366138"/>
    <w:rsid w:val="00385369"/>
    <w:rsid w:val="00386C93"/>
    <w:rsid w:val="00394019"/>
    <w:rsid w:val="003952EC"/>
    <w:rsid w:val="003A298B"/>
    <w:rsid w:val="003A69C2"/>
    <w:rsid w:val="003B0CFA"/>
    <w:rsid w:val="003B13A0"/>
    <w:rsid w:val="003D6AC0"/>
    <w:rsid w:val="003E3F15"/>
    <w:rsid w:val="00400635"/>
    <w:rsid w:val="00400B75"/>
    <w:rsid w:val="004173B0"/>
    <w:rsid w:val="00432053"/>
    <w:rsid w:val="00437CE7"/>
    <w:rsid w:val="00443B3C"/>
    <w:rsid w:val="004472B9"/>
    <w:rsid w:val="00480DAC"/>
    <w:rsid w:val="004856BE"/>
    <w:rsid w:val="0050666C"/>
    <w:rsid w:val="005142B4"/>
    <w:rsid w:val="00536B45"/>
    <w:rsid w:val="005462D9"/>
    <w:rsid w:val="005749D0"/>
    <w:rsid w:val="005A7335"/>
    <w:rsid w:val="005C6A7D"/>
    <w:rsid w:val="005D35DE"/>
    <w:rsid w:val="005E62EA"/>
    <w:rsid w:val="005E6D17"/>
    <w:rsid w:val="00631AE7"/>
    <w:rsid w:val="0064463F"/>
    <w:rsid w:val="00661730"/>
    <w:rsid w:val="00674AD1"/>
    <w:rsid w:val="00680768"/>
    <w:rsid w:val="00682156"/>
    <w:rsid w:val="00683E29"/>
    <w:rsid w:val="0069290C"/>
    <w:rsid w:val="0069394F"/>
    <w:rsid w:val="006A5497"/>
    <w:rsid w:val="006D5C14"/>
    <w:rsid w:val="006E2C63"/>
    <w:rsid w:val="006F36D6"/>
    <w:rsid w:val="006F3B8E"/>
    <w:rsid w:val="0070095A"/>
    <w:rsid w:val="00751015"/>
    <w:rsid w:val="007558D3"/>
    <w:rsid w:val="0076276F"/>
    <w:rsid w:val="0078577C"/>
    <w:rsid w:val="007C5CB6"/>
    <w:rsid w:val="007C5FEC"/>
    <w:rsid w:val="007E4E26"/>
    <w:rsid w:val="007F76A7"/>
    <w:rsid w:val="00835471"/>
    <w:rsid w:val="00841DBD"/>
    <w:rsid w:val="00843B50"/>
    <w:rsid w:val="008528A6"/>
    <w:rsid w:val="00875BE2"/>
    <w:rsid w:val="0087614B"/>
    <w:rsid w:val="00884111"/>
    <w:rsid w:val="00886F81"/>
    <w:rsid w:val="00893939"/>
    <w:rsid w:val="008A60BD"/>
    <w:rsid w:val="008B2629"/>
    <w:rsid w:val="008D5AB6"/>
    <w:rsid w:val="008E038F"/>
    <w:rsid w:val="008E3F2C"/>
    <w:rsid w:val="008E55F3"/>
    <w:rsid w:val="008F5459"/>
    <w:rsid w:val="00901AD1"/>
    <w:rsid w:val="00914041"/>
    <w:rsid w:val="009149C6"/>
    <w:rsid w:val="009222A9"/>
    <w:rsid w:val="009224D7"/>
    <w:rsid w:val="00940397"/>
    <w:rsid w:val="00941301"/>
    <w:rsid w:val="00951857"/>
    <w:rsid w:val="0095658A"/>
    <w:rsid w:val="00965F7F"/>
    <w:rsid w:val="009702DD"/>
    <w:rsid w:val="00987CBB"/>
    <w:rsid w:val="009A1B47"/>
    <w:rsid w:val="009A31C6"/>
    <w:rsid w:val="00A01E1B"/>
    <w:rsid w:val="00A02BF3"/>
    <w:rsid w:val="00A04754"/>
    <w:rsid w:val="00A05E88"/>
    <w:rsid w:val="00A10F6F"/>
    <w:rsid w:val="00A255A8"/>
    <w:rsid w:val="00A3536D"/>
    <w:rsid w:val="00A5391A"/>
    <w:rsid w:val="00A7547A"/>
    <w:rsid w:val="00A77971"/>
    <w:rsid w:val="00A83860"/>
    <w:rsid w:val="00AA1B87"/>
    <w:rsid w:val="00AC5031"/>
    <w:rsid w:val="00AD5750"/>
    <w:rsid w:val="00AF0767"/>
    <w:rsid w:val="00AF21F0"/>
    <w:rsid w:val="00B3160B"/>
    <w:rsid w:val="00B4108D"/>
    <w:rsid w:val="00B47B46"/>
    <w:rsid w:val="00B55D7C"/>
    <w:rsid w:val="00B628D7"/>
    <w:rsid w:val="00B70807"/>
    <w:rsid w:val="00B762F4"/>
    <w:rsid w:val="00B77B8C"/>
    <w:rsid w:val="00B80571"/>
    <w:rsid w:val="00B844B5"/>
    <w:rsid w:val="00B87FC0"/>
    <w:rsid w:val="00BA0EC4"/>
    <w:rsid w:val="00BB1E73"/>
    <w:rsid w:val="00BB7616"/>
    <w:rsid w:val="00BC79C9"/>
    <w:rsid w:val="00C10496"/>
    <w:rsid w:val="00C11A42"/>
    <w:rsid w:val="00C226CC"/>
    <w:rsid w:val="00C248CC"/>
    <w:rsid w:val="00C260B5"/>
    <w:rsid w:val="00C5124C"/>
    <w:rsid w:val="00C53719"/>
    <w:rsid w:val="00C54763"/>
    <w:rsid w:val="00C86BF3"/>
    <w:rsid w:val="00C94A4D"/>
    <w:rsid w:val="00CB740F"/>
    <w:rsid w:val="00CC37C0"/>
    <w:rsid w:val="00CD461D"/>
    <w:rsid w:val="00CD741A"/>
    <w:rsid w:val="00CD7D2E"/>
    <w:rsid w:val="00CE402D"/>
    <w:rsid w:val="00D430B5"/>
    <w:rsid w:val="00D45663"/>
    <w:rsid w:val="00D460AE"/>
    <w:rsid w:val="00D47313"/>
    <w:rsid w:val="00D50FC9"/>
    <w:rsid w:val="00D52E10"/>
    <w:rsid w:val="00D62CD4"/>
    <w:rsid w:val="00D72BA9"/>
    <w:rsid w:val="00D822CA"/>
    <w:rsid w:val="00D90E56"/>
    <w:rsid w:val="00DB3C88"/>
    <w:rsid w:val="00DB6C0A"/>
    <w:rsid w:val="00DE0183"/>
    <w:rsid w:val="00E05370"/>
    <w:rsid w:val="00E279A5"/>
    <w:rsid w:val="00E329AA"/>
    <w:rsid w:val="00E458DB"/>
    <w:rsid w:val="00E62AF9"/>
    <w:rsid w:val="00E63BE2"/>
    <w:rsid w:val="00EA079A"/>
    <w:rsid w:val="00EC28EF"/>
    <w:rsid w:val="00EE04FB"/>
    <w:rsid w:val="00F00C96"/>
    <w:rsid w:val="00F026EC"/>
    <w:rsid w:val="00F05F49"/>
    <w:rsid w:val="00F233C7"/>
    <w:rsid w:val="00F2537C"/>
    <w:rsid w:val="00F3177F"/>
    <w:rsid w:val="00F66876"/>
    <w:rsid w:val="00F76B20"/>
    <w:rsid w:val="00F7709E"/>
    <w:rsid w:val="00F81C44"/>
    <w:rsid w:val="00FA4552"/>
    <w:rsid w:val="00FC1E5F"/>
    <w:rsid w:val="00FD059F"/>
    <w:rsid w:val="00FD43D0"/>
    <w:rsid w:val="00FF525E"/>
    <w:rsid w:val="571C2BB0"/>
    <w:rsid w:val="6F085D6F"/>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semiHidden="0"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unhideWhenUsed/>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Document Map"/>
    <w:basedOn w:val="1"/>
    <w:link w:val="24"/>
    <w:unhideWhenUsed/>
    <w:uiPriority w:val="99"/>
    <w:rPr>
      <w:rFonts w:ascii="宋体" w:hAnsi="Times New Roman"/>
      <w:sz w:val="18"/>
      <w:szCs w:val="18"/>
    </w:rPr>
  </w:style>
  <w:style w:type="paragraph" w:styleId="3">
    <w:name w:val="Date"/>
    <w:basedOn w:val="1"/>
    <w:next w:val="1"/>
    <w:link w:val="23"/>
    <w:unhideWhenUsed/>
    <w:qFormat/>
    <w:uiPriority w:val="99"/>
    <w:pPr>
      <w:ind w:left="100" w:leftChars="2500"/>
    </w:pPr>
  </w:style>
  <w:style w:type="paragraph" w:styleId="4">
    <w:name w:val="Balloon Text"/>
    <w:basedOn w:val="1"/>
    <w:link w:val="11"/>
    <w:semiHidden/>
    <w:uiPriority w:val="0"/>
    <w:rPr>
      <w:sz w:val="18"/>
      <w:szCs w:val="18"/>
    </w:rPr>
  </w:style>
  <w:style w:type="paragraph" w:styleId="5">
    <w:name w:val="footer"/>
    <w:basedOn w:val="1"/>
    <w:link w:val="13"/>
    <w:qFormat/>
    <w:uiPriority w:val="0"/>
    <w:pPr>
      <w:tabs>
        <w:tab w:val="center" w:pos="4153"/>
        <w:tab w:val="right" w:pos="8306"/>
      </w:tabs>
      <w:snapToGrid w:val="0"/>
      <w:jc w:val="left"/>
    </w:pPr>
    <w:rPr>
      <w:sz w:val="18"/>
      <w:szCs w:val="18"/>
    </w:rPr>
  </w:style>
  <w:style w:type="paragraph" w:styleId="6">
    <w:name w:val="header"/>
    <w:basedOn w:val="1"/>
    <w:link w:val="12"/>
    <w:semiHidden/>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iPriority w:val="0"/>
    <w:pPr>
      <w:widowControl/>
      <w:spacing w:before="100" w:beforeAutospacing="1" w:after="100" w:afterAutospacing="1"/>
      <w:jc w:val="left"/>
    </w:pPr>
    <w:rPr>
      <w:rFonts w:ascii="宋体" w:hAnsi="宋体" w:cs="宋体"/>
      <w:kern w:val="0"/>
      <w:sz w:val="24"/>
      <w:szCs w:val="24"/>
    </w:rPr>
  </w:style>
  <w:style w:type="table" w:styleId="10">
    <w:name w:val="Table Grid"/>
    <w:basedOn w:val="9"/>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1">
    <w:name w:val="批注框文本 Char"/>
    <w:basedOn w:val="8"/>
    <w:link w:val="4"/>
    <w:qFormat/>
    <w:uiPriority w:val="0"/>
    <w:rPr>
      <w:rFonts w:ascii="Calibri" w:hAnsi="Calibri" w:eastAsia="宋体" w:cs="Times New Roman"/>
      <w:sz w:val="18"/>
      <w:szCs w:val="18"/>
    </w:rPr>
  </w:style>
  <w:style w:type="character" w:customStyle="1" w:styleId="12">
    <w:name w:val="页眉 Char"/>
    <w:basedOn w:val="8"/>
    <w:link w:val="6"/>
    <w:qFormat/>
    <w:uiPriority w:val="0"/>
    <w:rPr>
      <w:rFonts w:ascii="Calibri" w:hAnsi="Calibri" w:eastAsia="宋体" w:cs="Times New Roman"/>
      <w:sz w:val="18"/>
      <w:szCs w:val="18"/>
    </w:rPr>
  </w:style>
  <w:style w:type="character" w:customStyle="1" w:styleId="13">
    <w:name w:val="页脚 Char"/>
    <w:basedOn w:val="8"/>
    <w:link w:val="5"/>
    <w:uiPriority w:val="0"/>
    <w:rPr>
      <w:rFonts w:ascii="Calibri" w:hAnsi="Calibri" w:eastAsia="宋体" w:cs="Times New Roman"/>
      <w:sz w:val="18"/>
      <w:szCs w:val="18"/>
    </w:rPr>
  </w:style>
  <w:style w:type="character" w:customStyle="1" w:styleId="14">
    <w:name w:val="Char Char2"/>
    <w:basedOn w:val="8"/>
    <w:semiHidden/>
    <w:uiPriority w:val="99"/>
    <w:rPr>
      <w:rFonts w:ascii="Calibri" w:hAnsi="Calibri" w:eastAsia="宋体" w:cs="Times New Roman"/>
      <w:sz w:val="18"/>
      <w:szCs w:val="18"/>
    </w:rPr>
  </w:style>
  <w:style w:type="character" w:customStyle="1" w:styleId="15">
    <w:name w:val="Char Char1"/>
    <w:basedOn w:val="8"/>
    <w:semiHidden/>
    <w:uiPriority w:val="99"/>
    <w:rPr>
      <w:rFonts w:ascii="Calibri" w:hAnsi="Calibri" w:eastAsia="宋体" w:cs="Times New Roman"/>
      <w:sz w:val="18"/>
      <w:szCs w:val="18"/>
    </w:rPr>
  </w:style>
  <w:style w:type="character" w:customStyle="1" w:styleId="16">
    <w:name w:val="Char Char"/>
    <w:basedOn w:val="8"/>
    <w:uiPriority w:val="99"/>
    <w:rPr>
      <w:rFonts w:ascii="Calibri" w:hAnsi="Calibri" w:eastAsia="宋体" w:cs="Times New Roman"/>
      <w:sz w:val="18"/>
      <w:szCs w:val="18"/>
    </w:rPr>
  </w:style>
  <w:style w:type="character" w:customStyle="1" w:styleId="17">
    <w:name w:val="Char Char3"/>
    <w:basedOn w:val="8"/>
    <w:uiPriority w:val="0"/>
    <w:rPr>
      <w:rFonts w:ascii="Calibri" w:hAnsi="Calibri" w:eastAsia="宋体" w:cs="Times New Roman"/>
      <w:sz w:val="18"/>
      <w:szCs w:val="18"/>
    </w:rPr>
  </w:style>
  <w:style w:type="character" w:customStyle="1" w:styleId="18">
    <w:name w:val="Char Char11"/>
    <w:basedOn w:val="8"/>
    <w:semiHidden/>
    <w:uiPriority w:val="0"/>
    <w:rPr>
      <w:rFonts w:cs="Times New Roman"/>
      <w:kern w:val="2"/>
      <w:sz w:val="18"/>
      <w:szCs w:val="18"/>
    </w:rPr>
  </w:style>
  <w:style w:type="character" w:customStyle="1" w:styleId="19">
    <w:name w:val="Char Char4"/>
    <w:basedOn w:val="8"/>
    <w:semiHidden/>
    <w:qFormat/>
    <w:uiPriority w:val="0"/>
    <w:rPr>
      <w:rFonts w:cs="Times New Roman"/>
      <w:kern w:val="2"/>
      <w:sz w:val="18"/>
      <w:szCs w:val="18"/>
    </w:rPr>
  </w:style>
  <w:style w:type="paragraph" w:customStyle="1" w:styleId="20">
    <w:name w:val="List Paragraph"/>
    <w:basedOn w:val="1"/>
    <w:qFormat/>
    <w:uiPriority w:val="34"/>
    <w:pPr>
      <w:ind w:firstLine="420" w:firstLineChars="200"/>
    </w:pPr>
  </w:style>
  <w:style w:type="character" w:customStyle="1" w:styleId="21">
    <w:name w:val="Char Char5"/>
    <w:basedOn w:val="8"/>
    <w:uiPriority w:val="99"/>
    <w:rPr>
      <w:rFonts w:ascii="Calibri" w:hAnsi="Calibri" w:eastAsia="宋体" w:cs="Times New Roman"/>
      <w:sz w:val="18"/>
      <w:szCs w:val="18"/>
    </w:rPr>
  </w:style>
  <w:style w:type="character" w:customStyle="1" w:styleId="22">
    <w:name w:val="页脚 Char1"/>
    <w:basedOn w:val="8"/>
    <w:qFormat/>
    <w:uiPriority w:val="0"/>
    <w:rPr>
      <w:kern w:val="2"/>
      <w:sz w:val="18"/>
      <w:szCs w:val="18"/>
    </w:rPr>
  </w:style>
  <w:style w:type="character" w:customStyle="1" w:styleId="23">
    <w:name w:val="日期 Char"/>
    <w:basedOn w:val="8"/>
    <w:link w:val="3"/>
    <w:semiHidden/>
    <w:qFormat/>
    <w:uiPriority w:val="99"/>
    <w:rPr>
      <w:kern w:val="2"/>
      <w:sz w:val="21"/>
      <w:szCs w:val="22"/>
    </w:rPr>
  </w:style>
  <w:style w:type="character" w:customStyle="1" w:styleId="24">
    <w:name w:val="文档结构图 Char"/>
    <w:basedOn w:val="8"/>
    <w:link w:val="2"/>
    <w:semiHidden/>
    <w:qFormat/>
    <w:uiPriority w:val="99"/>
    <w:rPr>
      <w:rFonts w:ascii="宋体" w:hAnsi="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52C76B-3BD1-4A90-B45B-CA9316A9B842}">
  <ds:schemaRefs/>
</ds:datastoreItem>
</file>

<file path=docProps/app.xml><?xml version="1.0" encoding="utf-8"?>
<Properties xmlns="http://schemas.openxmlformats.org/officeDocument/2006/extended-properties" xmlns:vt="http://schemas.openxmlformats.org/officeDocument/2006/docPropsVTypes">
  <Template>Normal</Template>
  <Pages>17</Pages>
  <Words>1432</Words>
  <Characters>8166</Characters>
  <Lines>68</Lines>
  <Paragraphs>19</Paragraphs>
  <ScaleCrop>false</ScaleCrop>
  <LinksUpToDate>false</LinksUpToDate>
  <CharactersWithSpaces>9579</CharactersWithSpaces>
  <Application>WPS Office_10.1.0.5975_F1E327BC-269C-435d-A152-05C5408002CA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2016-09-12T04:27:00Z</dcterms:created>
  <dc:creator>user</dc:creator>
  <cp:lastModifiedBy>Administrator</cp:lastModifiedBy>
  <cp:lastPrinted>2016-08-02T03:32:00Z</cp:lastPrinted>
  <dcterms:modified xsi:type="dcterms:W3CDTF">2016-09-29T07:27:19Z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