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贵州省辐射环境监理站省级放射性实验室升级改造项目监理服务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评分办法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02"/>
        <w:gridCol w:w="851"/>
        <w:gridCol w:w="581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依据各有效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投标供应商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的投标有效报价进行计算。投标报价得分=（评标基准价÷投标有效报价）×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（分），评标基准价：满足招标文件要求且投标价格最低的投标有效报价。超过采购人预算价的投标报价，价格因素分计0分。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监理服务方案评价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小组根据投标供应商提供的</w:t>
            </w:r>
            <w:r>
              <w:rPr>
                <w:rFonts w:hint="eastAsia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监理服务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方案综合评审（方案应针对本项目特点，包括但不限于质量控制、进度控制、投资控制、变更控制、合同管理、信息管理、组织协调等内容）：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（1）方案内容全面，符合项目实际需求和情况，合理可行的得</w:t>
            </w:r>
            <w:r>
              <w:rPr>
                <w:rFonts w:hint="eastAsia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20-3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（2）方案内容较全面， 比较符合项目实际需求和情况， 比较合理可行的得</w:t>
            </w:r>
            <w:r>
              <w:rPr>
                <w:rFonts w:hint="eastAsia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10-19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（3）方案内容基本完整，基本符合项目实际需求和情况，基本可行的得</w:t>
            </w:r>
            <w:r>
              <w:rPr>
                <w:rFonts w:hint="eastAsia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4-9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（4）方案内容不够全面，不太符合项目实际需求和情况，合理可行性差的得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-3</w:t>
            </w: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（5）未提供任何方案的得0分。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类似业绩评价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144" w:right="91" w:hanging="27"/>
              <w:jc w:val="center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小组根据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供应商提供的2022年1月1日（以合同签订日期为准）至今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类似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eastAsia="zh-CN"/>
              </w:rPr>
              <w:t>实验室或机电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安装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监理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业绩进行评审：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供应商每提供1份业绩得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分，最多得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注：证明材料提供合同扫描件。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企业体系评价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小组根据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供应商提供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以下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体系认证证书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进行评审：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（1）具有有效的质量管理体系认证证书得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（2）具有有效的环境管理体系认证证书得3分；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（3）具有有效的职业健康安全管理体系认证证书得3分；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注：提供有效的证书复印件并加盖投标供应商公章。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团队人员评价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小组根据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拟提供的团队人员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进行评审：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（1）总监理工程师：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具备有效的注册监理工程师资格证书，且注册专业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为机电安装工程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的得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注：提供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的身份证、资格证、注册证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投标供应商为其缴纳的2025年1月起（含1月）至今任意连续三个月的社会保险，未提供证明材料或证明材料不全不计分。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1"/>
              </w:numPr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专业监理工程师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具备有效的注册监理工程师资格证书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且注册专业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为机电安装工程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，具备中级或以上职称得5分，最多得10分。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注：提供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的身份证、资格证、注册证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、职称证（如有）、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投标供应商为其缴纳的2025年1月起（含1月）至今任意连续三个月的社会保险，未提供证明材料或证明材料不全不计分。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left="0" w:leftChars="0" w:firstLine="0" w:firstLineChars="0"/>
              <w:jc w:val="both"/>
              <w:textAlignment w:val="baseline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监理员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leftChars="0"/>
              <w:jc w:val="both"/>
              <w:textAlignment w:val="baseline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配备监理员1名，提供监理员岗位证或监理从业相关培训证书。满足要求的计5分，不满足要求不计分。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注：提供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的身份证，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提供监理员岗位证或监理从业相关培训证书，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投标供应商为其缴纳的2025年1月起（含1月）至今任意连续三个月的社会保险，未提供证明材料或证明材料不全不计分。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8C64B"/>
    <w:multiLevelType w:val="singleLevel"/>
    <w:tmpl w:val="E2F8C64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480"/>
        <w:tab w:val="right" w:leader="dot" w:pos="9061"/>
      </w:tabs>
      <w:spacing w:before="120" w:after="120"/>
      <w:ind w:firstLine="424" w:firstLineChars="176"/>
    </w:pPr>
    <w:rPr>
      <w:b/>
      <w:bCs/>
      <w:caps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 w:line="278" w:lineRule="auto"/>
      <w:ind w:left="420" w:leftChars="200"/>
    </w:pPr>
    <w:rPr>
      <w:rFonts w:ascii="等线" w:hAnsi="等线" w:eastAsia="等线" w:cs="Times New Roman"/>
      <w:sz w:val="21"/>
      <w:szCs w:val="22"/>
    </w:rPr>
  </w:style>
  <w:style w:type="paragraph" w:customStyle="1" w:styleId="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 w:line="278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2025-12-18T08:07:41Z</dcterms:created>
  <dc:creator>Administrator</dc:creator>
  <cp:lastModifiedBy>Administrator</cp:lastModifiedBy>
  <dcterms:modified xsi:type="dcterms:W3CDTF">2025-12-18T08:07:57Z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864596D1CE3B4DC599F5A25E0FA7EC3F</vt:lpwstr>
  </property>
</Properties>
</file>