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B7CF">
      <w:pPr>
        <w:jc w:val="center"/>
        <w:outlineLvl w:val="0"/>
        <w:rPr>
          <w:rFonts w:hint="eastAsia" w:ascii="Times New Roman" w:hAnsi="Times New Roman" w:eastAsia="黑体"/>
          <w:sz w:val="44"/>
          <w:szCs w:val="44"/>
          <w:lang w:val="en-US" w:eastAsia="zh-CN"/>
        </w:rPr>
      </w:pPr>
      <w:bookmarkStart w:id="0" w:name="_Toc14157"/>
      <w:bookmarkStart w:id="1" w:name="_Toc7556"/>
      <w:bookmarkStart w:id="2" w:name="_Toc3224"/>
    </w:p>
    <w:p w14:paraId="4000A23D">
      <w:pPr>
        <w:jc w:val="center"/>
        <w:outlineLvl w:val="0"/>
        <w:rPr>
          <w:rFonts w:hint="eastAsia" w:ascii="Times New Roman" w:hAnsi="Times New Roman" w:eastAsia="黑体"/>
          <w:sz w:val="44"/>
          <w:szCs w:val="44"/>
          <w:lang w:val="en-US" w:eastAsia="zh-CN"/>
        </w:rPr>
      </w:pPr>
    </w:p>
    <w:p w14:paraId="4D557078">
      <w:pPr>
        <w:jc w:val="center"/>
        <w:outlineLvl w:val="0"/>
        <w:rPr>
          <w:rFonts w:hint="eastAsia" w:ascii="Times New Roman" w:hAnsi="Times New Roman" w:eastAsia="黑体"/>
          <w:sz w:val="44"/>
          <w:szCs w:val="44"/>
          <w:lang w:val="en-US" w:eastAsia="zh-CN"/>
        </w:rPr>
      </w:pPr>
    </w:p>
    <w:p w14:paraId="3ED5FAD9">
      <w:pPr>
        <w:jc w:val="center"/>
        <w:outlineLvl w:val="0"/>
        <w:rPr>
          <w:rFonts w:hint="eastAsia" w:ascii="Times New Roman" w:hAnsi="Times New Roman" w:eastAsia="黑体"/>
          <w:sz w:val="44"/>
          <w:szCs w:val="44"/>
          <w:lang w:val="en-US" w:eastAsia="zh-CN"/>
        </w:rPr>
      </w:pPr>
    </w:p>
    <w:p w14:paraId="5224FF95">
      <w:pPr>
        <w:jc w:val="center"/>
        <w:outlineLvl w:val="0"/>
        <w:rPr>
          <w:rFonts w:ascii="Times New Roman" w:hAnsi="Times New Roman" w:eastAsia="黑体"/>
          <w:sz w:val="44"/>
          <w:szCs w:val="44"/>
        </w:rPr>
      </w:pPr>
      <w:r>
        <w:rPr>
          <w:rFonts w:hint="eastAsia" w:ascii="Times New Roman" w:hAnsi="Times New Roman" w:eastAsia="黑体"/>
          <w:sz w:val="44"/>
          <w:szCs w:val="44"/>
          <w:lang w:val="en-US" w:eastAsia="zh-CN"/>
        </w:rPr>
        <w:t>贵州省酱香型白酒产业污染防治规范</w:t>
      </w:r>
      <w:bookmarkEnd w:id="0"/>
      <w:bookmarkEnd w:id="1"/>
      <w:bookmarkEnd w:id="2"/>
    </w:p>
    <w:p w14:paraId="1BF12FFB">
      <w:pPr>
        <w:jc w:val="center"/>
        <w:rPr>
          <w:rFonts w:ascii="Times New Roman" w:hAnsi="Times New Roman" w:eastAsia="黑体"/>
          <w:sz w:val="44"/>
          <w:szCs w:val="44"/>
        </w:rPr>
      </w:pPr>
      <w:r>
        <w:rPr>
          <w:rFonts w:ascii="Times New Roman" w:hAnsi="Times New Roman" w:eastAsia="黑体"/>
          <w:sz w:val="44"/>
          <w:szCs w:val="44"/>
        </w:rPr>
        <w:t>编制说明</w:t>
      </w:r>
    </w:p>
    <w:p w14:paraId="430FAD42">
      <w:pPr>
        <w:jc w:val="center"/>
        <w:rPr>
          <w:rFonts w:ascii="Times New Roman" w:hAnsi="Times New Roman" w:eastAsia="黑体"/>
          <w:sz w:val="32"/>
          <w:szCs w:val="32"/>
        </w:rPr>
      </w:pPr>
    </w:p>
    <w:p w14:paraId="1CE0F426">
      <w:pPr>
        <w:jc w:val="center"/>
        <w:rPr>
          <w:rFonts w:ascii="Times New Roman" w:hAnsi="Times New Roman" w:eastAsia="黑体"/>
          <w:sz w:val="32"/>
          <w:szCs w:val="32"/>
        </w:rPr>
      </w:pPr>
    </w:p>
    <w:p w14:paraId="0B6B0602">
      <w:pPr>
        <w:jc w:val="center"/>
        <w:rPr>
          <w:rFonts w:ascii="Times New Roman" w:hAnsi="Times New Roman" w:eastAsia="黑体"/>
          <w:sz w:val="32"/>
          <w:szCs w:val="32"/>
        </w:rPr>
      </w:pPr>
    </w:p>
    <w:p w14:paraId="2304E9A4">
      <w:pPr>
        <w:jc w:val="center"/>
        <w:rPr>
          <w:rFonts w:ascii="Times New Roman" w:hAnsi="Times New Roman" w:eastAsia="黑体"/>
          <w:sz w:val="32"/>
          <w:szCs w:val="32"/>
        </w:rPr>
      </w:pPr>
    </w:p>
    <w:p w14:paraId="6BAA7DDB">
      <w:pPr>
        <w:jc w:val="center"/>
        <w:rPr>
          <w:rFonts w:ascii="Times New Roman" w:hAnsi="Times New Roman" w:eastAsia="黑体"/>
          <w:sz w:val="32"/>
          <w:szCs w:val="32"/>
        </w:rPr>
      </w:pPr>
    </w:p>
    <w:p w14:paraId="6C609D73">
      <w:pPr>
        <w:jc w:val="center"/>
        <w:rPr>
          <w:rFonts w:ascii="Times New Roman" w:hAnsi="Times New Roman" w:eastAsia="黑体"/>
          <w:sz w:val="32"/>
          <w:szCs w:val="32"/>
        </w:rPr>
      </w:pPr>
    </w:p>
    <w:p w14:paraId="4F2D3B5F">
      <w:pPr>
        <w:jc w:val="center"/>
        <w:rPr>
          <w:rFonts w:ascii="Times New Roman" w:hAnsi="Times New Roman" w:eastAsia="黑体"/>
          <w:sz w:val="32"/>
          <w:szCs w:val="32"/>
        </w:rPr>
      </w:pPr>
    </w:p>
    <w:p w14:paraId="4F2BBA1D">
      <w:pPr>
        <w:jc w:val="center"/>
        <w:rPr>
          <w:rFonts w:ascii="Times New Roman" w:hAnsi="Times New Roman" w:eastAsia="黑体"/>
          <w:sz w:val="32"/>
          <w:szCs w:val="32"/>
        </w:rPr>
      </w:pPr>
    </w:p>
    <w:p w14:paraId="62309AF0">
      <w:pPr>
        <w:rPr>
          <w:rFonts w:ascii="Times New Roman" w:hAnsi="Times New Roman" w:eastAsia="黑体"/>
          <w:sz w:val="32"/>
          <w:szCs w:val="32"/>
        </w:rPr>
      </w:pPr>
    </w:p>
    <w:p w14:paraId="2411071F">
      <w:pPr>
        <w:rPr>
          <w:rFonts w:ascii="Times New Roman" w:hAnsi="Times New Roman" w:eastAsia="黑体"/>
          <w:sz w:val="32"/>
          <w:szCs w:val="32"/>
        </w:rPr>
      </w:pPr>
    </w:p>
    <w:p w14:paraId="180095DF">
      <w:pPr>
        <w:rPr>
          <w:rFonts w:ascii="Times New Roman" w:hAnsi="Times New Roman" w:eastAsia="黑体"/>
          <w:sz w:val="32"/>
          <w:szCs w:val="32"/>
        </w:rPr>
      </w:pPr>
    </w:p>
    <w:p w14:paraId="1E306BFE">
      <w:pPr>
        <w:rPr>
          <w:rFonts w:ascii="Times New Roman" w:hAnsi="Times New Roman" w:eastAsia="黑体"/>
          <w:sz w:val="32"/>
          <w:szCs w:val="32"/>
        </w:rPr>
      </w:pPr>
    </w:p>
    <w:p w14:paraId="3F181633">
      <w:pPr>
        <w:rPr>
          <w:rFonts w:ascii="Times New Roman" w:hAnsi="Times New Roman" w:eastAsia="黑体"/>
          <w:sz w:val="32"/>
          <w:szCs w:val="32"/>
        </w:rPr>
      </w:pPr>
    </w:p>
    <w:p w14:paraId="12F148F8">
      <w:pPr>
        <w:jc w:val="center"/>
        <w:rPr>
          <w:rFonts w:ascii="Times New Roman" w:hAnsi="Times New Roman" w:eastAsia="黑体"/>
          <w:sz w:val="32"/>
          <w:szCs w:val="32"/>
        </w:rPr>
      </w:pPr>
      <w:r>
        <w:rPr>
          <w:rFonts w:ascii="Times New Roman" w:hAnsi="Times New Roman" w:eastAsia="黑体"/>
          <w:sz w:val="32"/>
          <w:szCs w:val="32"/>
        </w:rPr>
        <w:t>《</w:t>
      </w:r>
      <w:r>
        <w:rPr>
          <w:rFonts w:hint="eastAsia" w:ascii="Times New Roman" w:hAnsi="Times New Roman" w:eastAsia="黑体"/>
          <w:sz w:val="32"/>
          <w:szCs w:val="32"/>
        </w:rPr>
        <w:t>贵州省酱香型白酒产业污染防治规范</w:t>
      </w:r>
      <w:r>
        <w:rPr>
          <w:rFonts w:ascii="Times New Roman" w:hAnsi="Times New Roman" w:eastAsia="黑体"/>
          <w:sz w:val="32"/>
          <w:szCs w:val="32"/>
        </w:rPr>
        <w:t>》编制组</w:t>
      </w:r>
    </w:p>
    <w:p w14:paraId="6F1D6DAA">
      <w:pPr>
        <w:jc w:val="center"/>
        <w:rPr>
          <w:rFonts w:ascii="Times New Roman" w:hAnsi="Times New Roman" w:eastAsia="黑体"/>
          <w:sz w:val="32"/>
          <w:szCs w:val="32"/>
        </w:rPr>
      </w:pPr>
      <w:r>
        <w:rPr>
          <w:rFonts w:hint="eastAsia" w:ascii="Times New Roman" w:hAnsi="Times New Roman" w:eastAsia="黑体"/>
          <w:sz w:val="32"/>
          <w:szCs w:val="32"/>
        </w:rPr>
        <w:t>二〇二三</w:t>
      </w:r>
      <w:r>
        <w:rPr>
          <w:rFonts w:ascii="Times New Roman" w:hAnsi="Times New Roman" w:eastAsia="黑体"/>
          <w:sz w:val="32"/>
          <w:szCs w:val="32"/>
        </w:rPr>
        <w:t>年</w:t>
      </w:r>
      <w:r>
        <w:rPr>
          <w:rFonts w:hint="eastAsia" w:ascii="Times New Roman" w:hAnsi="Times New Roman" w:eastAsia="黑体"/>
          <w:sz w:val="32"/>
          <w:szCs w:val="32"/>
          <w:lang w:val="en-US" w:eastAsia="zh-CN"/>
        </w:rPr>
        <w:t>八</w:t>
      </w:r>
      <w:r>
        <w:rPr>
          <w:rFonts w:ascii="Times New Roman" w:hAnsi="Times New Roman" w:eastAsia="黑体"/>
          <w:sz w:val="32"/>
          <w:szCs w:val="32"/>
        </w:rPr>
        <w:t>月</w:t>
      </w:r>
    </w:p>
    <w:p w14:paraId="3FB880FF">
      <w:pPr>
        <w:rPr>
          <w:rFonts w:hint="eastAsia" w:cs="宋体" w:asciiTheme="minorEastAsia" w:hAnsiTheme="minorEastAsia" w:eastAsiaTheme="minorEastAsia"/>
          <w:b/>
          <w:bCs/>
          <w:sz w:val="28"/>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5739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E410AE9">
          <w:pPr>
            <w:keepNext w:val="0"/>
            <w:keepLines w:val="0"/>
            <w:pageBreakBefore w:val="0"/>
            <w:kinsoku/>
            <w:wordWrap/>
            <w:overflowPunct/>
            <w:topLinePunct w:val="0"/>
            <w:autoSpaceDE/>
            <w:autoSpaceDN/>
            <w:bidi w:val="0"/>
            <w:adjustRightInd/>
            <w:snapToGrid/>
            <w:spacing w:before="313" w:beforeLines="100" w:after="313" w:afterLines="100" w:line="360" w:lineRule="auto"/>
            <w:ind w:left="0" w:leftChars="0" w:right="0" w:rightChars="0" w:firstLine="0" w:firstLineChars="0"/>
            <w:jc w:val="center"/>
            <w:textAlignment w:val="auto"/>
            <w:rPr>
              <w:rStyle w:val="19"/>
            </w:rPr>
          </w:pPr>
          <w:r>
            <w:rPr>
              <w:rStyle w:val="19"/>
            </w:rPr>
            <w:t>目录</w:t>
          </w:r>
        </w:p>
        <w:p w14:paraId="7C0346B7">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Style w:val="20"/>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TOC \o "1-2" \h \u </w:instrText>
          </w:r>
          <w:r>
            <w:rPr>
              <w:rFonts w:hint="eastAsia" w:ascii="黑体" w:hAnsi="黑体" w:eastAsia="黑体" w:cs="黑体"/>
              <w:sz w:val="24"/>
              <w:szCs w:val="24"/>
            </w:rPr>
            <w:fldChar w:fldCharType="separate"/>
          </w:r>
          <w:r>
            <w:rPr>
              <w:rStyle w:val="20"/>
              <w:rFonts w:hint="eastAsia" w:ascii="黑体" w:hAnsi="黑体" w:eastAsia="黑体" w:cs="黑体"/>
              <w:sz w:val="24"/>
              <w:szCs w:val="24"/>
            </w:rPr>
            <w:fldChar w:fldCharType="begin"/>
          </w:r>
          <w:r>
            <w:rPr>
              <w:rStyle w:val="20"/>
              <w:rFonts w:hint="eastAsia" w:ascii="黑体" w:hAnsi="黑体" w:eastAsia="黑体" w:cs="黑体"/>
              <w:sz w:val="24"/>
              <w:szCs w:val="24"/>
            </w:rPr>
            <w:instrText xml:space="preserve"> HYPERLINK \l _Toc26113 </w:instrText>
          </w:r>
          <w:r>
            <w:rPr>
              <w:rStyle w:val="20"/>
              <w:rFonts w:hint="eastAsia" w:ascii="黑体" w:hAnsi="黑体" w:eastAsia="黑体" w:cs="黑体"/>
              <w:sz w:val="24"/>
              <w:szCs w:val="24"/>
            </w:rPr>
            <w:fldChar w:fldCharType="separate"/>
          </w:r>
          <w:r>
            <w:rPr>
              <w:rStyle w:val="20"/>
              <w:rFonts w:hint="eastAsia" w:ascii="黑体" w:hAnsi="黑体" w:eastAsia="黑体" w:cs="黑体"/>
              <w:sz w:val="24"/>
              <w:szCs w:val="24"/>
            </w:rPr>
            <w:t>一、 项目背景</w:t>
          </w:r>
          <w:r>
            <w:rPr>
              <w:rStyle w:val="20"/>
              <w:rFonts w:hint="eastAsia" w:ascii="黑体" w:hAnsi="黑体" w:eastAsia="黑体" w:cs="黑体"/>
              <w:sz w:val="24"/>
              <w:szCs w:val="24"/>
            </w:rPr>
            <w:tab/>
          </w:r>
          <w:r>
            <w:rPr>
              <w:rStyle w:val="20"/>
              <w:rFonts w:hint="eastAsia" w:ascii="黑体" w:hAnsi="黑体" w:eastAsia="黑体" w:cs="黑体"/>
              <w:sz w:val="24"/>
              <w:szCs w:val="24"/>
            </w:rPr>
            <w:fldChar w:fldCharType="begin"/>
          </w:r>
          <w:r>
            <w:rPr>
              <w:rStyle w:val="20"/>
              <w:rFonts w:hint="eastAsia" w:ascii="黑体" w:hAnsi="黑体" w:eastAsia="黑体" w:cs="黑体"/>
              <w:sz w:val="24"/>
              <w:szCs w:val="24"/>
            </w:rPr>
            <w:instrText xml:space="preserve"> PAGEREF _Toc26113 \h </w:instrText>
          </w:r>
          <w:r>
            <w:rPr>
              <w:rStyle w:val="20"/>
              <w:rFonts w:hint="eastAsia" w:ascii="黑体" w:hAnsi="黑体" w:eastAsia="黑体" w:cs="黑体"/>
              <w:sz w:val="24"/>
              <w:szCs w:val="24"/>
            </w:rPr>
            <w:fldChar w:fldCharType="separate"/>
          </w:r>
          <w:r>
            <w:rPr>
              <w:rStyle w:val="20"/>
              <w:rFonts w:hint="eastAsia" w:ascii="黑体" w:hAnsi="黑体" w:eastAsia="黑体" w:cs="黑体"/>
              <w:sz w:val="24"/>
              <w:szCs w:val="24"/>
            </w:rPr>
            <w:t>1</w:t>
          </w:r>
          <w:r>
            <w:rPr>
              <w:rStyle w:val="20"/>
              <w:rFonts w:hint="eastAsia" w:ascii="黑体" w:hAnsi="黑体" w:eastAsia="黑体" w:cs="黑体"/>
              <w:sz w:val="24"/>
              <w:szCs w:val="24"/>
            </w:rPr>
            <w:fldChar w:fldCharType="end"/>
          </w:r>
          <w:r>
            <w:rPr>
              <w:rStyle w:val="20"/>
              <w:rFonts w:hint="eastAsia" w:ascii="黑体" w:hAnsi="黑体" w:eastAsia="黑体" w:cs="黑体"/>
              <w:sz w:val="24"/>
              <w:szCs w:val="24"/>
            </w:rPr>
            <w:fldChar w:fldCharType="end"/>
          </w:r>
        </w:p>
        <w:p w14:paraId="0E8B3E10">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_Toc7995 </w:instrText>
          </w:r>
          <w:r>
            <w:rPr>
              <w:rFonts w:hint="eastAsia" w:ascii="黑体" w:hAnsi="黑体" w:eastAsia="黑体" w:cs="黑体"/>
              <w:sz w:val="24"/>
              <w:szCs w:val="24"/>
            </w:rPr>
            <w:fldChar w:fldCharType="separate"/>
          </w:r>
          <w:r>
            <w:rPr>
              <w:rFonts w:hint="eastAsia" w:ascii="黑体" w:hAnsi="黑体" w:eastAsia="黑体" w:cs="黑体"/>
              <w:sz w:val="24"/>
              <w:szCs w:val="24"/>
            </w:rPr>
            <w:t>（一） 全省和国内外产业、技术现状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_Toc7995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7980D29">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_Toc21081 </w:instrText>
          </w:r>
          <w:r>
            <w:rPr>
              <w:rFonts w:hint="eastAsia" w:ascii="黑体" w:hAnsi="黑体" w:eastAsia="黑体" w:cs="黑体"/>
              <w:sz w:val="24"/>
              <w:szCs w:val="24"/>
            </w:rPr>
            <w:fldChar w:fldCharType="separate"/>
          </w:r>
          <w:r>
            <w:rPr>
              <w:rFonts w:hint="eastAsia" w:ascii="黑体" w:hAnsi="黑体" w:eastAsia="黑体" w:cs="黑体"/>
              <w:sz w:val="24"/>
              <w:szCs w:val="24"/>
            </w:rPr>
            <w:t>（二） 制修订地方标准的必要性和意义</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_Toc21081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743A44D">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_Toc29645 </w:instrText>
          </w:r>
          <w:r>
            <w:rPr>
              <w:rFonts w:hint="eastAsia" w:ascii="黑体" w:hAnsi="黑体" w:eastAsia="黑体" w:cs="黑体"/>
              <w:sz w:val="24"/>
              <w:szCs w:val="24"/>
            </w:rPr>
            <w:fldChar w:fldCharType="separate"/>
          </w:r>
          <w:r>
            <w:rPr>
              <w:rFonts w:hint="eastAsia" w:ascii="黑体" w:hAnsi="黑体" w:eastAsia="黑体" w:cs="黑体"/>
              <w:sz w:val="24"/>
              <w:szCs w:val="24"/>
            </w:rPr>
            <w:t>（三） 主要内容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_Toc29645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681A338">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_Toc6524 </w:instrText>
          </w:r>
          <w:r>
            <w:rPr>
              <w:rFonts w:hint="eastAsia" w:ascii="黑体" w:hAnsi="黑体" w:eastAsia="黑体" w:cs="黑体"/>
              <w:sz w:val="24"/>
              <w:szCs w:val="24"/>
            </w:rPr>
            <w:fldChar w:fldCharType="separate"/>
          </w:r>
          <w:r>
            <w:rPr>
              <w:rFonts w:hint="eastAsia" w:ascii="黑体" w:hAnsi="黑体" w:eastAsia="黑体" w:cs="黑体"/>
              <w:sz w:val="24"/>
              <w:szCs w:val="24"/>
            </w:rPr>
            <w:t>二、 工作简况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_Toc6524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277B50A">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_Toc6905 </w:instrText>
          </w:r>
          <w:r>
            <w:rPr>
              <w:rFonts w:hint="eastAsia" w:ascii="黑体" w:hAnsi="黑体" w:eastAsia="黑体" w:cs="黑体"/>
              <w:sz w:val="24"/>
              <w:szCs w:val="24"/>
            </w:rPr>
            <w:fldChar w:fldCharType="separate"/>
          </w:r>
          <w:r>
            <w:rPr>
              <w:rFonts w:hint="eastAsia" w:ascii="黑体" w:hAnsi="黑体" w:eastAsia="黑体" w:cs="黑体"/>
              <w:sz w:val="24"/>
              <w:szCs w:val="24"/>
            </w:rPr>
            <w:t>（一）任务来源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_Toc6905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BDD97B2">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_Toc19666 </w:instrText>
          </w:r>
          <w:r>
            <w:rPr>
              <w:rFonts w:hint="eastAsia" w:ascii="黑体" w:hAnsi="黑体" w:eastAsia="黑体" w:cs="黑体"/>
              <w:sz w:val="24"/>
              <w:szCs w:val="24"/>
            </w:rPr>
            <w:fldChar w:fldCharType="separate"/>
          </w:r>
          <w:r>
            <w:rPr>
              <w:rFonts w:hint="eastAsia" w:ascii="黑体" w:hAnsi="黑体" w:eastAsia="黑体" w:cs="黑体"/>
              <w:sz w:val="24"/>
              <w:szCs w:val="24"/>
            </w:rPr>
            <w:t>（二）编制过程</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_Toc19666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C689558">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_Toc10887 </w:instrText>
          </w:r>
          <w:r>
            <w:rPr>
              <w:rFonts w:hint="eastAsia" w:ascii="黑体" w:hAnsi="黑体" w:eastAsia="黑体" w:cs="黑体"/>
              <w:sz w:val="24"/>
              <w:szCs w:val="24"/>
            </w:rPr>
            <w:fldChar w:fldCharType="separate"/>
          </w:r>
          <w:r>
            <w:rPr>
              <w:rFonts w:hint="eastAsia" w:ascii="黑体" w:hAnsi="黑体" w:eastAsia="黑体" w:cs="黑体"/>
              <w:sz w:val="24"/>
              <w:szCs w:val="24"/>
            </w:rPr>
            <w:t>（三）主要起草人及其工作分工</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_Toc10887 \h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C620B07">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_Toc13591 </w:instrText>
          </w:r>
          <w:r>
            <w:rPr>
              <w:rFonts w:hint="eastAsia" w:ascii="黑体" w:hAnsi="黑体" w:eastAsia="黑体" w:cs="黑体"/>
              <w:sz w:val="24"/>
              <w:szCs w:val="24"/>
            </w:rPr>
            <w:fldChar w:fldCharType="separate"/>
          </w:r>
          <w:r>
            <w:rPr>
              <w:rFonts w:hint="eastAsia" w:ascii="黑体" w:hAnsi="黑体" w:eastAsia="黑体" w:cs="黑体"/>
              <w:sz w:val="24"/>
              <w:szCs w:val="24"/>
            </w:rPr>
            <w:t>三、 标准制订的基本思路和原则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_Toc13591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926BA25">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_Toc29198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 标准制订的基本思路</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_Toc29198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7D14215">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_Toc3625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 标准制订原则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_Toc3625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1EDF342">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_Toc17928 </w:instrText>
          </w:r>
          <w:r>
            <w:rPr>
              <w:rFonts w:hint="eastAsia" w:ascii="黑体" w:hAnsi="黑体" w:eastAsia="黑体" w:cs="黑体"/>
              <w:sz w:val="24"/>
              <w:szCs w:val="24"/>
            </w:rPr>
            <w:fldChar w:fldCharType="separate"/>
          </w:r>
          <w:r>
            <w:rPr>
              <w:rFonts w:hint="eastAsia" w:ascii="黑体" w:hAnsi="黑体" w:eastAsia="黑体" w:cs="黑体"/>
              <w:sz w:val="24"/>
              <w:szCs w:val="24"/>
            </w:rPr>
            <w:t>四、 标准实施后对经济和社会发展的预期影响及论证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_Toc17928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3EC3128">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_Toc10822 </w:instrText>
          </w:r>
          <w:r>
            <w:rPr>
              <w:rFonts w:hint="eastAsia" w:ascii="黑体" w:hAnsi="黑体" w:eastAsia="黑体" w:cs="黑体"/>
              <w:sz w:val="24"/>
              <w:szCs w:val="24"/>
            </w:rPr>
            <w:fldChar w:fldCharType="separate"/>
          </w:r>
          <w:r>
            <w:rPr>
              <w:rFonts w:hint="eastAsia" w:ascii="黑体" w:hAnsi="黑体" w:eastAsia="黑体" w:cs="黑体"/>
              <w:sz w:val="24"/>
              <w:szCs w:val="24"/>
            </w:rPr>
            <w:t>五、 与国内政府主导制定标准的协调情况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_Toc10822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CED20FA">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_Toc2218 </w:instrText>
          </w:r>
          <w:r>
            <w:rPr>
              <w:rFonts w:hint="eastAsia" w:ascii="黑体" w:hAnsi="黑体" w:eastAsia="黑体" w:cs="黑体"/>
              <w:sz w:val="24"/>
              <w:szCs w:val="24"/>
            </w:rPr>
            <w:fldChar w:fldCharType="separate"/>
          </w:r>
          <w:r>
            <w:rPr>
              <w:rFonts w:hint="eastAsia" w:ascii="黑体" w:hAnsi="黑体" w:eastAsia="黑体" w:cs="黑体"/>
              <w:sz w:val="24"/>
              <w:szCs w:val="24"/>
            </w:rPr>
            <w:t>六、 与现行法律、法规、强制性标准的关系</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_Toc2218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E6639C7">
          <w:pPr>
            <w:keepNext w:val="0"/>
            <w:keepLines w:val="0"/>
            <w:pageBreakBefore w:val="0"/>
            <w:kinsoku/>
            <w:wordWrap/>
            <w:overflowPunct/>
            <w:topLinePunct w:val="0"/>
            <w:autoSpaceDE/>
            <w:autoSpaceDN/>
            <w:bidi w:val="0"/>
            <w:adjustRightInd/>
            <w:snapToGrid/>
            <w:spacing w:before="313" w:beforeLines="100" w:after="313" w:afterLines="100" w:line="360" w:lineRule="auto"/>
            <w:textAlignment w:val="auto"/>
          </w:pPr>
          <w:r>
            <w:rPr>
              <w:rFonts w:hint="eastAsia" w:ascii="黑体" w:hAnsi="黑体" w:eastAsia="黑体" w:cs="黑体"/>
              <w:sz w:val="24"/>
              <w:szCs w:val="24"/>
            </w:rPr>
            <w:fldChar w:fldCharType="end"/>
          </w:r>
        </w:p>
      </w:sdtContent>
    </w:sdt>
    <w:p w14:paraId="03830D47"/>
    <w:p w14:paraId="73FD0E2A">
      <w:pPr>
        <w:pStyle w:val="3"/>
        <w:numPr>
          <w:ilvl w:val="0"/>
          <w:numId w:val="1"/>
        </w:numPr>
        <w:bidi w:val="0"/>
        <w:ind w:left="0" w:leftChars="0" w:firstLine="420" w:firstLineChars="0"/>
        <w:outlineLvl w:val="0"/>
        <w:rPr>
          <w:rFonts w:hint="default"/>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3" w:name="_Toc26113"/>
    </w:p>
    <w:p w14:paraId="3D6A9C4A">
      <w:pPr>
        <w:pStyle w:val="3"/>
        <w:numPr>
          <w:ilvl w:val="0"/>
          <w:numId w:val="1"/>
        </w:numPr>
        <w:bidi w:val="0"/>
        <w:ind w:left="0" w:leftChars="0" w:firstLine="420" w:firstLineChars="0"/>
        <w:outlineLvl w:val="0"/>
        <w:rPr>
          <w:rFonts w:hint="default"/>
        </w:rPr>
      </w:pPr>
      <w:r>
        <w:t>项目背景</w:t>
      </w:r>
      <w:bookmarkEnd w:id="3"/>
    </w:p>
    <w:p w14:paraId="3DFA87AB">
      <w:pPr>
        <w:pStyle w:val="4"/>
        <w:numPr>
          <w:ilvl w:val="0"/>
          <w:numId w:val="2"/>
        </w:numPr>
        <w:bidi w:val="0"/>
        <w:ind w:left="0" w:leftChars="0" w:firstLine="420" w:firstLineChars="0"/>
        <w:outlineLvl w:val="1"/>
        <w:rPr>
          <w:rFonts w:hint="default"/>
        </w:rPr>
      </w:pPr>
      <w:bookmarkStart w:id="4" w:name="_Toc7995"/>
      <w:r>
        <w:rPr>
          <w:rFonts w:hint="default"/>
        </w:rPr>
        <w:t>全省和国内外产业、技术现状</w:t>
      </w:r>
      <w:bookmarkEnd w:id="4"/>
    </w:p>
    <w:p w14:paraId="695CF9D5">
      <w:pPr>
        <w:pStyle w:val="13"/>
        <w:spacing w:beforeAutospacing="0" w:afterAutospacing="0" w:line="240" w:lineRule="atLeast"/>
        <w:ind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.1我国白酒产量及趋势</w:t>
      </w:r>
    </w:p>
    <w:p w14:paraId="49FB5BF3">
      <w:pPr>
        <w:pStyle w:val="13"/>
        <w:bidi w:val="0"/>
        <w:rPr>
          <w:rFonts w:hint="eastAsia"/>
        </w:rPr>
      </w:pPr>
      <w:r>
        <w:rPr>
          <w:rFonts w:hint="eastAsia"/>
        </w:rPr>
        <w:t>根据国家统计局数据，2016-2022年，中国白酒(折65度，商品量)产量呈现逐年下降的趋势。2022年，中国白酒(折65度，商品量)产量为671.2万千升，同比下降6.20%，这也是自2017年以来全国白酒连续第六年下跌，与2016年高峰时相比近乎“腰斩”。2023年1-7月，中国白酒(折65度，商品量)产量236.7万千升，同比下降13.3%。2016-2019年，我国白酒行业市场规模呈下降趋势。因为宏观经济形势和政策环境变化，国家出台政策，严格控制“三公”经费，坚持厉行节约，限制了高端白酒消费需求，超高端、高端白酒销售下挫，行业增长放缓。2019年，白酒行业加速推进供给侧结构性改革，随着去产能和调结构的逐步深化，行业总体呈现产出规模稳中有降、产出效益逐步提升的新特征，全国规模以上白酒企业实现销售收入5617.82亿元，同比增长4.74%。</w:t>
      </w:r>
    </w:p>
    <w:p w14:paraId="251A2BBD">
      <w:pPr>
        <w:pStyle w:val="13"/>
        <w:bidi w:val="0"/>
        <w:rPr>
          <w:rFonts w:hint="eastAsia"/>
        </w:rPr>
      </w:pPr>
      <w:r>
        <w:rPr>
          <w:rFonts w:hint="eastAsia"/>
        </w:rPr>
        <w:t>2020-2022年，与白酒产量和企业数量下降趋势相反，我国白酒行业营利双增，且增幅明显。根据中国酒业协会披露，2022年我国白酒行业规模以上企业销售收入为6626.45亿元，同比增长9.84%。</w:t>
      </w:r>
    </w:p>
    <w:p w14:paraId="0D9898A1">
      <w:pPr>
        <w:pStyle w:val="13"/>
        <w:spacing w:beforeAutospacing="0" w:afterAutospacing="0" w:line="240" w:lineRule="atLeast"/>
        <w:ind w:firstLine="640"/>
        <w:jc w:val="center"/>
        <w:rPr>
          <w:rFonts w:hint="default" w:ascii="楷体" w:hAnsi="楷体" w:eastAsia="楷体"/>
          <w:color w:val="000000"/>
          <w:sz w:val="21"/>
          <w:szCs w:val="21"/>
        </w:rPr>
      </w:pPr>
      <w:r>
        <w:rPr>
          <w:rFonts w:ascii="宋体" w:hAnsi="宋体" w:eastAsia="宋体" w:cs="宋体"/>
          <w:sz w:val="24"/>
          <w:szCs w:val="24"/>
        </w:rPr>
        <w:drawing>
          <wp:inline distT="0" distB="0" distL="114300" distR="114300">
            <wp:extent cx="4773295" cy="2943225"/>
            <wp:effectExtent l="0" t="0" r="825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rcRect t="12735" r="22" b="2541"/>
                    <a:stretch>
                      <a:fillRect/>
                    </a:stretch>
                  </pic:blipFill>
                  <pic:spPr>
                    <a:xfrm>
                      <a:off x="0" y="0"/>
                      <a:ext cx="4773295" cy="2943225"/>
                    </a:xfrm>
                    <a:prstGeom prst="rect">
                      <a:avLst/>
                    </a:prstGeom>
                    <a:noFill/>
                    <a:ln w="9525">
                      <a:noFill/>
                    </a:ln>
                  </pic:spPr>
                </pic:pic>
              </a:graphicData>
            </a:graphic>
          </wp:inline>
        </w:drawing>
      </w:r>
    </w:p>
    <w:p w14:paraId="7DE1B9A7">
      <w:pPr>
        <w:pStyle w:val="13"/>
        <w:spacing w:beforeAutospacing="0" w:afterAutospacing="0" w:line="240" w:lineRule="atLeast"/>
        <w:ind w:firstLine="640"/>
        <w:jc w:val="center"/>
        <w:rPr>
          <w:rFonts w:hint="default" w:ascii="楷体" w:hAnsi="楷体" w:eastAsia="楷体"/>
          <w:color w:val="000000"/>
          <w:sz w:val="21"/>
          <w:szCs w:val="21"/>
        </w:rPr>
      </w:pPr>
      <w:r>
        <w:rPr>
          <w:rFonts w:hint="default" w:ascii="楷体" w:hAnsi="楷体" w:eastAsia="楷体"/>
          <w:color w:val="000000"/>
          <w:sz w:val="21"/>
          <w:szCs w:val="21"/>
        </w:rPr>
        <w:t>图1 2016~2022年中国白酒行业规模以上企业销售收入以及同比增速</w:t>
      </w:r>
    </w:p>
    <w:p w14:paraId="3B998B15">
      <w:pPr>
        <w:pStyle w:val="13"/>
        <w:bidi w:val="0"/>
        <w:ind w:firstLine="482" w:firstLineChars="200"/>
        <w:outlineLvl w:val="2"/>
        <w:rPr>
          <w:rFonts w:hint="default"/>
          <w:b/>
          <w:bCs/>
        </w:rPr>
      </w:pPr>
      <w:r>
        <w:rPr>
          <w:rFonts w:hint="eastAsia"/>
          <w:b/>
          <w:bCs/>
          <w:lang w:val="en-US" w:eastAsia="zh-CN"/>
        </w:rPr>
        <w:t>1</w:t>
      </w:r>
      <w:r>
        <w:rPr>
          <w:rFonts w:hint="default"/>
          <w:b/>
          <w:bCs/>
        </w:rPr>
        <w:t>.2白酒制造行业在我省的发展概况</w:t>
      </w:r>
    </w:p>
    <w:p w14:paraId="0B17BC94">
      <w:pPr>
        <w:pStyle w:val="13"/>
        <w:bidi w:val="0"/>
        <w:rPr>
          <w:rFonts w:hint="default"/>
        </w:rPr>
      </w:pPr>
      <w:r>
        <w:rPr>
          <w:rFonts w:hint="default"/>
        </w:rPr>
        <w:t>白酒是以粮食为主要原料，经多步工艺后，蒸馏而制成的蒸馏酒。贵州是中国著名的白酒产区，以贵州茅台酒为代表的酱香型白酒产品世界闻名。随着经济的快速发展和消费升级的推动作用，贵州白酒产业也在不断发展，并呈现出一些新的趋势。《贵州省白酒产业发展报告（2022年）》显示，2022年贵州省白酒总产能约80万千升。其中，酱香型白酒产能60万千升，约占全国酱香型白酒总产能的80%；规模以上白酒企业完成产量28.9万千升（折65度，商品量），完成产值1204.4亿元、同比增长38.7%，工业增加值同比增长36.1%、占全省的26.2%，酱香型白酒以占全国4.3%的产量，实现了行业销售收入的30%，贡献了行业利润总额的43.9%。我省白酒企业约1690家，2021年在产企业778家，2022年全国规模以上白酒企业约180家（酿酒总产量45万千升）。</w:t>
      </w:r>
    </w:p>
    <w:p w14:paraId="31ABC23E">
      <w:pPr>
        <w:pStyle w:val="13"/>
        <w:bidi w:val="0"/>
        <w:rPr>
          <w:rFonts w:hint="default"/>
        </w:rPr>
      </w:pPr>
      <w:r>
        <w:rPr>
          <w:rFonts w:hint="default"/>
        </w:rPr>
        <w:t>截至2022年底，贵州省规模以上白酒企业达180余户。白酒产业规范发展取得阶段成效，企业规模和实力显著增强。赤水河流域是公认的世界酱香型白酒核心产区。随着酱酒热的持续升温，酱酒生产正在向贵州省内其他地区拓展。在贵州省发改委公布的2023年重点民间投资项目清单中，涉及白酒项目84个，投资金额合计达960亿元。上述投资项目中，绝大部分坐落在遵义市，8个位于黔东南，7个位于毕节市，安顺和铜仁也有项目分布。白酒生产项目不再“扎堆”在仁怀产区，习水、金沙、汇川、赤水和铜仁等区域也有分布。当这些产区形成了一定规模，集聚效应显现，贵州白酒产业将呈现出多极化的科学发展姿态。</w:t>
      </w:r>
    </w:p>
    <w:p w14:paraId="04610AD5">
      <w:pPr>
        <w:pStyle w:val="13"/>
        <w:bidi w:val="0"/>
        <w:ind w:firstLine="482" w:firstLineChars="200"/>
        <w:outlineLvl w:val="2"/>
        <w:rPr>
          <w:rFonts w:hint="default"/>
          <w:b/>
          <w:bCs/>
        </w:rPr>
      </w:pPr>
      <w:r>
        <w:rPr>
          <w:rFonts w:hint="eastAsia"/>
          <w:b/>
          <w:bCs/>
          <w:lang w:val="en-US" w:eastAsia="zh-CN"/>
        </w:rPr>
        <w:t>1.3</w:t>
      </w:r>
      <w:r>
        <w:rPr>
          <w:rFonts w:hint="default"/>
          <w:b/>
          <w:bCs/>
        </w:rPr>
        <w:t xml:space="preserve">行业产排污情况及污染控制技术分析 </w:t>
      </w:r>
    </w:p>
    <w:p w14:paraId="7AC3463B">
      <w:pPr>
        <w:pStyle w:val="13"/>
        <w:bidi w:val="0"/>
        <w:ind w:firstLine="480" w:firstLineChars="200"/>
        <w:outlineLvl w:val="3"/>
        <w:rPr>
          <w:rFonts w:hint="default"/>
        </w:rPr>
      </w:pPr>
      <w:r>
        <w:rPr>
          <w:rFonts w:hint="eastAsia"/>
          <w:lang w:val="en-US" w:eastAsia="zh-CN"/>
        </w:rPr>
        <w:t>1.3.1</w:t>
      </w:r>
      <w:r>
        <w:rPr>
          <w:rFonts w:hint="default"/>
        </w:rPr>
        <w:t>主要生产工艺</w:t>
      </w:r>
    </w:p>
    <w:p w14:paraId="105737B3">
      <w:pPr>
        <w:pStyle w:val="13"/>
        <w:bidi w:val="0"/>
        <w:rPr>
          <w:rFonts w:hint="default"/>
        </w:rPr>
      </w:pPr>
      <w:r>
        <w:rPr>
          <w:rFonts w:hint="default"/>
        </w:rPr>
        <w:t>酱香型白酒生产过程主要分为大曲生产和基酒生产、勾兑等过程。</w:t>
      </w:r>
    </w:p>
    <w:p w14:paraId="6A97249F">
      <w:pPr>
        <w:pStyle w:val="13"/>
        <w:bidi w:val="0"/>
        <w:rPr>
          <w:rFonts w:hint="default"/>
        </w:rPr>
      </w:pPr>
      <w:r>
        <w:drawing>
          <wp:anchor distT="0" distB="0" distL="114300" distR="114300" simplePos="0" relativeHeight="251659264" behindDoc="0" locked="0" layoutInCell="1" allowOverlap="1">
            <wp:simplePos x="0" y="0"/>
            <wp:positionH relativeFrom="column">
              <wp:posOffset>135255</wp:posOffset>
            </wp:positionH>
            <wp:positionV relativeFrom="paragraph">
              <wp:posOffset>103505</wp:posOffset>
            </wp:positionV>
            <wp:extent cx="4906645" cy="2028825"/>
            <wp:effectExtent l="0" t="0" r="8255"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906645" cy="2028825"/>
                    </a:xfrm>
                    <a:prstGeom prst="rect">
                      <a:avLst/>
                    </a:prstGeom>
                    <a:noFill/>
                    <a:ln>
                      <a:noFill/>
                    </a:ln>
                  </pic:spPr>
                </pic:pic>
              </a:graphicData>
            </a:graphic>
          </wp:anchor>
        </w:drawing>
      </w:r>
    </w:p>
    <w:p w14:paraId="7F4B186B">
      <w:pPr>
        <w:pStyle w:val="13"/>
        <w:spacing w:beforeAutospacing="0" w:afterAutospacing="0" w:line="240" w:lineRule="atLeast"/>
        <w:ind w:firstLine="640"/>
        <w:jc w:val="center"/>
        <w:rPr>
          <w:rFonts w:hint="default" w:ascii="楷体" w:hAnsi="楷体" w:eastAsia="楷体"/>
          <w:color w:val="000000"/>
          <w:sz w:val="21"/>
          <w:szCs w:val="21"/>
        </w:rPr>
      </w:pPr>
      <w:r>
        <w:rPr>
          <w:rFonts w:hint="default" w:ascii="楷体" w:hAnsi="楷体" w:eastAsia="楷体"/>
          <w:color w:val="000000"/>
          <w:sz w:val="21"/>
          <w:szCs w:val="21"/>
        </w:rPr>
        <w:t>图2.大曲粉碎工艺流程及排污节点图</w:t>
      </w:r>
    </w:p>
    <w:p w14:paraId="3C56B697">
      <w:pPr>
        <w:rPr>
          <w:rFonts w:hint="default" w:ascii="楷体" w:hAnsi="楷体" w:eastAsia="楷体"/>
          <w:color w:val="000000"/>
          <w:sz w:val="21"/>
          <w:szCs w:val="21"/>
        </w:rPr>
      </w:pPr>
      <w:r>
        <w:rPr>
          <w:rFonts w:hint="default" w:ascii="楷体" w:hAnsi="楷体" w:eastAsia="楷体"/>
          <w:color w:val="000000"/>
          <w:sz w:val="21"/>
          <w:szCs w:val="21"/>
        </w:rPr>
        <w:br w:type="page"/>
      </w:r>
    </w:p>
    <w:p w14:paraId="42C82EE4">
      <w:pPr>
        <w:pStyle w:val="13"/>
        <w:spacing w:beforeAutospacing="0" w:afterAutospacing="0" w:line="240" w:lineRule="atLeast"/>
        <w:ind w:firstLine="640"/>
        <w:jc w:val="center"/>
        <w:rPr>
          <w:rFonts w:hint="default" w:ascii="楷体" w:hAnsi="楷体" w:eastAsia="楷体"/>
          <w:color w:val="000000"/>
          <w:sz w:val="21"/>
          <w:szCs w:val="21"/>
        </w:rPr>
      </w:pPr>
    </w:p>
    <w:p w14:paraId="32477089">
      <w:pPr>
        <w:pStyle w:val="13"/>
        <w:bidi w:val="0"/>
        <w:rPr>
          <w:rFonts w:hint="default"/>
        </w:rPr>
      </w:pPr>
      <w:r>
        <w:rPr>
          <w:rFonts w:hint="default"/>
        </w:rPr>
        <w:t>基酒生产工艺由破碎、润粮工序、蒸粮工序、发酵工序、蒸馏工序等组成。</w:t>
      </w:r>
    </w:p>
    <w:p w14:paraId="19835621">
      <w:pPr>
        <w:pStyle w:val="13"/>
        <w:spacing w:beforeAutospacing="0" w:afterAutospacing="0" w:line="240" w:lineRule="atLeast"/>
        <w:ind w:firstLine="640"/>
        <w:rPr>
          <w:rFonts w:hint="default" w:ascii="楷体" w:hAnsi="楷体" w:eastAsia="楷体"/>
          <w:color w:val="000000"/>
          <w:sz w:val="21"/>
          <w:szCs w:val="21"/>
        </w:rPr>
      </w:pPr>
      <w:r>
        <w:drawing>
          <wp:anchor distT="0" distB="0" distL="114300" distR="114300" simplePos="0" relativeHeight="251660288" behindDoc="0" locked="0" layoutInCell="1" allowOverlap="1">
            <wp:simplePos x="0" y="0"/>
            <wp:positionH relativeFrom="column">
              <wp:posOffset>162560</wp:posOffset>
            </wp:positionH>
            <wp:positionV relativeFrom="paragraph">
              <wp:posOffset>56515</wp:posOffset>
            </wp:positionV>
            <wp:extent cx="4709795" cy="4733925"/>
            <wp:effectExtent l="0" t="0" r="14605" b="952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709795" cy="4733925"/>
                    </a:xfrm>
                    <a:prstGeom prst="rect">
                      <a:avLst/>
                    </a:prstGeom>
                    <a:noFill/>
                    <a:ln>
                      <a:noFill/>
                    </a:ln>
                  </pic:spPr>
                </pic:pic>
              </a:graphicData>
            </a:graphic>
          </wp:anchor>
        </w:drawing>
      </w:r>
    </w:p>
    <w:p w14:paraId="3C97ABC3">
      <w:pPr>
        <w:pStyle w:val="13"/>
        <w:spacing w:beforeAutospacing="0" w:afterAutospacing="0" w:line="240" w:lineRule="atLeast"/>
        <w:ind w:firstLine="640"/>
        <w:jc w:val="center"/>
        <w:rPr>
          <w:rFonts w:hint="default" w:ascii="楷体" w:hAnsi="楷体" w:eastAsia="楷体"/>
          <w:color w:val="000000"/>
          <w:sz w:val="21"/>
          <w:szCs w:val="21"/>
        </w:rPr>
      </w:pPr>
      <w:r>
        <w:rPr>
          <w:rFonts w:hint="default" w:ascii="楷体" w:hAnsi="楷体" w:eastAsia="楷体"/>
          <w:color w:val="000000"/>
          <w:sz w:val="21"/>
          <w:szCs w:val="21"/>
        </w:rPr>
        <w:t>图3.传统酱香型白酒制酒车间工艺流程及排污节点图</w:t>
      </w:r>
    </w:p>
    <w:p w14:paraId="5633A410">
      <w:pPr>
        <w:pStyle w:val="13"/>
        <w:bidi w:val="0"/>
        <w:rPr>
          <w:rFonts w:hint="default"/>
        </w:rPr>
      </w:pPr>
      <w:r>
        <w:rPr>
          <w:rFonts w:hint="default"/>
        </w:rPr>
        <w:t>成品酒经过灌装、封盖、贴标、装箱、入库等工段，并检验瓶盖是否压实、瓶内是否有悬浮物，如合格则在瓶外贴标后再经检验装箱入库。</w:t>
      </w:r>
    </w:p>
    <w:p w14:paraId="08609029">
      <w:pPr>
        <w:rPr>
          <w:rFonts w:hint="default" w:ascii="楷体" w:hAnsi="楷体" w:eastAsia="楷体"/>
          <w:color w:val="000000"/>
          <w:sz w:val="21"/>
          <w:szCs w:val="21"/>
        </w:rPr>
      </w:pPr>
      <w:r>
        <w:rPr>
          <w:rFonts w:hint="default" w:ascii="楷体" w:hAnsi="楷体" w:eastAsia="楷体"/>
          <w:color w:val="000000"/>
          <w:sz w:val="21"/>
          <w:szCs w:val="21"/>
        </w:rPr>
        <w:br w:type="page"/>
      </w:r>
    </w:p>
    <w:p w14:paraId="676FB56A">
      <w:pPr>
        <w:pStyle w:val="13"/>
        <w:spacing w:beforeAutospacing="0" w:afterAutospacing="0" w:line="240" w:lineRule="atLeast"/>
        <w:ind w:firstLine="640"/>
        <w:rPr>
          <w:rFonts w:hint="default" w:ascii="楷体" w:hAnsi="楷体" w:eastAsia="楷体"/>
          <w:color w:val="000000"/>
          <w:sz w:val="21"/>
          <w:szCs w:val="21"/>
        </w:rPr>
      </w:pPr>
    </w:p>
    <w:p w14:paraId="0A4336D3">
      <w:pPr>
        <w:pStyle w:val="13"/>
        <w:spacing w:beforeAutospacing="0" w:afterAutospacing="0" w:line="240" w:lineRule="atLeast"/>
        <w:ind w:firstLine="640"/>
        <w:jc w:val="center"/>
        <w:rPr>
          <w:rFonts w:hint="default" w:ascii="楷体" w:hAnsi="楷体" w:eastAsia="楷体"/>
          <w:color w:val="000000"/>
          <w:sz w:val="21"/>
          <w:szCs w:val="21"/>
        </w:rPr>
      </w:pPr>
      <w:r>
        <w:drawing>
          <wp:anchor distT="0" distB="0" distL="114300" distR="114300" simplePos="0" relativeHeight="251661312" behindDoc="0" locked="0" layoutInCell="1" allowOverlap="1">
            <wp:simplePos x="0" y="0"/>
            <wp:positionH relativeFrom="column">
              <wp:posOffset>1116330</wp:posOffset>
            </wp:positionH>
            <wp:positionV relativeFrom="paragraph">
              <wp:posOffset>124460</wp:posOffset>
            </wp:positionV>
            <wp:extent cx="3255645" cy="3663950"/>
            <wp:effectExtent l="0" t="0" r="1905" b="1270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3255645" cy="3663950"/>
                    </a:xfrm>
                    <a:prstGeom prst="rect">
                      <a:avLst/>
                    </a:prstGeom>
                    <a:noFill/>
                    <a:ln>
                      <a:noFill/>
                    </a:ln>
                  </pic:spPr>
                </pic:pic>
              </a:graphicData>
            </a:graphic>
          </wp:anchor>
        </w:drawing>
      </w:r>
      <w:r>
        <w:rPr>
          <w:rFonts w:hint="default" w:ascii="楷体" w:hAnsi="楷体" w:eastAsia="楷体"/>
          <w:color w:val="000000"/>
          <w:sz w:val="21"/>
          <w:szCs w:val="21"/>
        </w:rPr>
        <w:t>图4.勾兑、包装工艺及排污节点图</w:t>
      </w:r>
    </w:p>
    <w:p w14:paraId="2E90AAB4">
      <w:pPr>
        <w:pStyle w:val="13"/>
        <w:bidi w:val="0"/>
        <w:ind w:firstLine="482" w:firstLineChars="200"/>
        <w:outlineLvl w:val="3"/>
        <w:rPr>
          <w:rFonts w:hint="default"/>
          <w:b/>
          <w:bCs/>
        </w:rPr>
      </w:pPr>
      <w:r>
        <w:rPr>
          <w:rFonts w:hint="eastAsia"/>
          <w:b/>
          <w:bCs/>
          <w:lang w:val="en-US" w:eastAsia="zh-CN"/>
        </w:rPr>
        <w:t>1.3.2</w:t>
      </w:r>
      <w:r>
        <w:rPr>
          <w:rFonts w:hint="default"/>
          <w:b/>
          <w:bCs/>
        </w:rPr>
        <w:t>废水排污现状</w:t>
      </w:r>
    </w:p>
    <w:p w14:paraId="388A963E">
      <w:pPr>
        <w:pStyle w:val="13"/>
        <w:bidi w:val="0"/>
        <w:rPr>
          <w:rFonts w:hint="default"/>
        </w:rPr>
      </w:pPr>
      <w:r>
        <w:rPr>
          <w:rFonts w:hint="default"/>
        </w:rPr>
        <w:t>酱香型白酒废水主要包括以下几种：</w:t>
      </w:r>
    </w:p>
    <w:p w14:paraId="4B5EAEBB">
      <w:pPr>
        <w:pStyle w:val="13"/>
        <w:numPr>
          <w:ilvl w:val="0"/>
          <w:numId w:val="3"/>
        </w:numPr>
        <w:bidi w:val="0"/>
        <w:ind w:left="425" w:leftChars="0" w:hanging="425" w:firstLineChars="0"/>
        <w:rPr>
          <w:rFonts w:hint="default"/>
        </w:rPr>
      </w:pPr>
      <w:r>
        <w:rPr>
          <w:rFonts w:hint="default"/>
        </w:rPr>
        <w:t>润粮过程产生的废水。</w:t>
      </w:r>
    </w:p>
    <w:p w14:paraId="37E75D58">
      <w:pPr>
        <w:pStyle w:val="13"/>
        <w:numPr>
          <w:ilvl w:val="0"/>
          <w:numId w:val="3"/>
        </w:numPr>
        <w:bidi w:val="0"/>
        <w:ind w:left="425" w:leftChars="0" w:hanging="425" w:firstLineChars="0"/>
        <w:rPr>
          <w:rFonts w:hint="default"/>
        </w:rPr>
      </w:pPr>
      <w:r>
        <w:rPr>
          <w:rFonts w:hint="default"/>
        </w:rPr>
        <w:t>堆积发酵及入窖发酵过程中冲洗工具、设施设备的废水。</w:t>
      </w:r>
    </w:p>
    <w:p w14:paraId="4D599889">
      <w:pPr>
        <w:pStyle w:val="13"/>
        <w:numPr>
          <w:ilvl w:val="0"/>
          <w:numId w:val="3"/>
        </w:numPr>
        <w:bidi w:val="0"/>
        <w:ind w:left="425" w:leftChars="0" w:hanging="425" w:firstLineChars="0"/>
        <w:rPr>
          <w:rFonts w:hint="default"/>
        </w:rPr>
      </w:pPr>
      <w:r>
        <w:rPr>
          <w:rFonts w:hint="default"/>
        </w:rPr>
        <w:t>堆积发酵过程中产生的跑水以及入窖发酵过程中产生的窖底水。</w:t>
      </w:r>
    </w:p>
    <w:p w14:paraId="2F9665CE">
      <w:pPr>
        <w:pStyle w:val="13"/>
        <w:numPr>
          <w:ilvl w:val="0"/>
          <w:numId w:val="3"/>
        </w:numPr>
        <w:bidi w:val="0"/>
        <w:ind w:left="425" w:leftChars="0" w:hanging="425" w:firstLineChars="0"/>
        <w:rPr>
          <w:rFonts w:hint="default"/>
        </w:rPr>
      </w:pPr>
      <w:r>
        <w:rPr>
          <w:rFonts w:hint="default"/>
        </w:rPr>
        <w:t>蒸馏过程中的残余热气冷凝水、锅底水、洗锅水及其带来的热污染。</w:t>
      </w:r>
    </w:p>
    <w:p w14:paraId="4F46C809">
      <w:pPr>
        <w:pStyle w:val="13"/>
        <w:numPr>
          <w:ilvl w:val="0"/>
          <w:numId w:val="3"/>
        </w:numPr>
        <w:bidi w:val="0"/>
        <w:ind w:left="425" w:leftChars="0" w:hanging="425" w:firstLineChars="0"/>
        <w:rPr>
          <w:rFonts w:hint="default"/>
        </w:rPr>
      </w:pPr>
      <w:r>
        <w:rPr>
          <w:rFonts w:hint="default"/>
        </w:rPr>
        <w:t>窖泥（池）废水。</w:t>
      </w:r>
    </w:p>
    <w:p w14:paraId="388B6C61">
      <w:pPr>
        <w:pStyle w:val="13"/>
        <w:bidi w:val="0"/>
        <w:rPr>
          <w:rFonts w:hint="default"/>
        </w:rPr>
      </w:pPr>
      <w:r>
        <w:rPr>
          <w:rFonts w:hint="default"/>
        </w:rPr>
        <w:t>以上废水属于工业废水，具有高有机物浓度、高悬浮物浓度、高氨氮浓度等特征，处理难度较大。酱香型白酒的pH值一般在4.5-5.5之间，因此废水的pH值一般不得超过6.0，以免对水环境造成不良影响。此外，对于总氮和总磷的排放标准主要参照国家和地方的相关标准。</w:t>
      </w:r>
    </w:p>
    <w:p w14:paraId="29E90FBE">
      <w:pPr>
        <w:pStyle w:val="13"/>
        <w:bidi w:val="0"/>
        <w:rPr>
          <w:rFonts w:hint="default"/>
        </w:rPr>
      </w:pPr>
      <w:r>
        <w:rPr>
          <w:rFonts w:hint="default"/>
        </w:rPr>
        <w:t>高浓度有机废水主要来自固态发酵法生产白酒产生的锅底水及黄水，COD浓度最高值可分别达到25000~65000mg/L和100000mg/L，固态发酵法每生产1吨65%vol白酒，约耗水60吨，产生废水48吨，排污量很大。</w:t>
      </w:r>
    </w:p>
    <w:p w14:paraId="0965C93E">
      <w:pPr>
        <w:pStyle w:val="13"/>
        <w:bidi w:val="0"/>
        <w:ind w:firstLine="482" w:firstLineChars="200"/>
        <w:outlineLvl w:val="3"/>
        <w:rPr>
          <w:rFonts w:hint="default"/>
          <w:b/>
          <w:bCs/>
        </w:rPr>
      </w:pPr>
      <w:r>
        <w:rPr>
          <w:rFonts w:hint="eastAsia"/>
          <w:b/>
          <w:bCs/>
          <w:lang w:val="en-US" w:eastAsia="zh-CN"/>
        </w:rPr>
        <w:t>1.3.3</w:t>
      </w:r>
      <w:r>
        <w:rPr>
          <w:rFonts w:hint="default"/>
          <w:b/>
          <w:bCs/>
        </w:rPr>
        <w:t>废水处理现状</w:t>
      </w:r>
    </w:p>
    <w:p w14:paraId="0F54DAB6">
      <w:pPr>
        <w:pStyle w:val="13"/>
        <w:bidi w:val="0"/>
        <w:rPr>
          <w:rFonts w:hint="default"/>
        </w:rPr>
      </w:pPr>
      <w:r>
        <w:rPr>
          <w:rFonts w:hint="default"/>
        </w:rPr>
        <w:t>白酒制造业废水污染防治应优先考虑资源化利用和污染负荷的过程削减，并严格控制水污染物排放。排放废水应以回收利用为主，达到相关标准后可回用于绿化及其他用途或排放。本规范本着“分类收集、资源回收利用、集中治理达标”的原则。高浓度白酒废水（锅底水、黄水、废醪液）应单独收集，结合资源化综合利用的回收处理，实现污染负荷的过程削减；中低浓度工艺废水（综合利用生产的废水、洗涤水、冷却水）可混合为综合废水并进行达标处理。本规范提出，高浓度白酒废水资源化综合利用的回收处理工艺原则为：</w:t>
      </w:r>
    </w:p>
    <w:p w14:paraId="2902A418">
      <w:pPr>
        <w:pStyle w:val="13"/>
        <w:bidi w:val="0"/>
        <w:rPr>
          <w:rFonts w:hint="default"/>
        </w:rPr>
      </w:pPr>
      <w:r>
        <w:rPr>
          <w:rFonts w:hint="default"/>
        </w:rPr>
        <w:t>1．锅底水中含有大量的有机成分，可以从中提取到乳酸和乳酸钙，因此，拟将锅底水进行预处理后再排入污水处理站，大大降低锅底水中的有机物和COD值浓度，提高企业的经济效益和环境效益。</w:t>
      </w:r>
    </w:p>
    <w:p w14:paraId="67B7F9D2">
      <w:pPr>
        <w:pStyle w:val="13"/>
        <w:bidi w:val="0"/>
        <w:rPr>
          <w:rFonts w:hint="default"/>
        </w:rPr>
      </w:pPr>
      <w:r>
        <w:rPr>
          <w:rFonts w:hint="default"/>
        </w:rPr>
        <w:t>2．固态发酵法生产的白酒酿造过程中产生的黄水COD、BOD5浓度值高，可以先对黄水中的有益成分如酸、酯、醇类物质进行提取，提取后的黄水可直接进行“生化+物化”处理。</w:t>
      </w:r>
    </w:p>
    <w:p w14:paraId="279BCC35">
      <w:pPr>
        <w:pStyle w:val="13"/>
        <w:bidi w:val="0"/>
        <w:rPr>
          <w:rFonts w:hint="default"/>
        </w:rPr>
      </w:pPr>
      <w:r>
        <w:rPr>
          <w:rFonts w:hint="default"/>
        </w:rPr>
        <w:t>3．液态发酵法产生的废醪液要先经处理后再排入污水处理站，玉米废醪液与滤渣生产蛋白饲料（即DDGS），薯类废醪液干燥生产燃料或饲料，糖蜜废醪液浓缩，浓缩液添加辅料干燥生产燃料、肥料。</w:t>
      </w:r>
    </w:p>
    <w:p w14:paraId="3B362822">
      <w:pPr>
        <w:pStyle w:val="13"/>
        <w:bidi w:val="0"/>
        <w:rPr>
          <w:rFonts w:hint="default"/>
        </w:rPr>
      </w:pPr>
      <w:r>
        <w:rPr>
          <w:rFonts w:hint="default"/>
        </w:rPr>
        <w:t>白酒生产废水常用的预处理方法包括过滤法、重力沉淀法、气浮法、离心法、中和法等。</w:t>
      </w:r>
    </w:p>
    <w:p w14:paraId="4A0D40FE">
      <w:pPr>
        <w:pStyle w:val="13"/>
        <w:bidi w:val="0"/>
        <w:rPr>
          <w:rFonts w:hint="default"/>
        </w:rPr>
      </w:pPr>
      <w:r>
        <w:rPr>
          <w:rFonts w:hint="default"/>
        </w:rPr>
        <w:t>白酒生产综合废水包括经综合利用锅底水、黄水、废醪液产生的二次废水，以及各种洗涤水、冲洗水，根据水污染物浓度分别采用以厌氧-好氧为主的多级治理工艺或好氧处理工艺。</w:t>
      </w:r>
    </w:p>
    <w:p w14:paraId="4F337B38">
      <w:pPr>
        <w:pStyle w:val="4"/>
        <w:numPr>
          <w:ilvl w:val="0"/>
          <w:numId w:val="2"/>
        </w:numPr>
        <w:bidi w:val="0"/>
        <w:ind w:left="0" w:leftChars="0" w:firstLine="420" w:firstLineChars="0"/>
        <w:outlineLvl w:val="1"/>
        <w:rPr>
          <w:rFonts w:hint="default"/>
        </w:rPr>
      </w:pPr>
      <w:bookmarkStart w:id="5" w:name="_Toc21081"/>
      <w:r>
        <w:rPr>
          <w:rFonts w:hint="default"/>
        </w:rPr>
        <w:t>制修订地方标准的必要性和意义</w:t>
      </w:r>
      <w:bookmarkEnd w:id="5"/>
    </w:p>
    <w:p w14:paraId="143721C6">
      <w:pPr>
        <w:pStyle w:val="13"/>
        <w:bidi w:val="0"/>
        <w:ind w:firstLine="482" w:firstLineChars="200"/>
        <w:outlineLvl w:val="2"/>
        <w:rPr>
          <w:rFonts w:hint="default"/>
          <w:b/>
          <w:bCs/>
        </w:rPr>
      </w:pPr>
      <w:r>
        <w:rPr>
          <w:rFonts w:hint="eastAsia"/>
          <w:b/>
          <w:bCs/>
          <w:lang w:val="en-US" w:eastAsia="zh-CN"/>
        </w:rPr>
        <w:t>2</w:t>
      </w:r>
      <w:r>
        <w:rPr>
          <w:rFonts w:hint="default"/>
          <w:b/>
          <w:bCs/>
        </w:rPr>
        <w:t>.1推动白酒行业持续发展的要求</w:t>
      </w:r>
    </w:p>
    <w:p w14:paraId="54EF2B1B">
      <w:pPr>
        <w:pStyle w:val="13"/>
        <w:bidi w:val="0"/>
        <w:rPr>
          <w:rFonts w:hint="default"/>
        </w:rPr>
      </w:pPr>
      <w:r>
        <w:rPr>
          <w:rFonts w:hint="default"/>
        </w:rPr>
        <w:t>白酒生产过程中会产生一种色度深、水质水量变化幅度大、易降解的高浓度有机废水。它主要来自固态（半固态）、固液法发酵生产白酒原酒过程中产生的锅底水及黄水，COD浓度最高值可分别达到25000~65000mg/L和100000mg/L。白酒生产产生的固体废弃物包括丢糟、锅炉灰渣及粉尘、废窖皮、碎酒瓶和污泥，其主要副产物为丢糟。丢糟酸度较大，水分含量达65%，不易储存且易于腐败。白酒生产会产生一定量的粉尘、二氧化硫、氮氧化物及挥发性有机物（主要为酯类和醇类），对周围环境造成一定影响。</w:t>
      </w:r>
    </w:p>
    <w:p w14:paraId="03542C71">
      <w:pPr>
        <w:pStyle w:val="13"/>
        <w:bidi w:val="0"/>
        <w:rPr>
          <w:rFonts w:hint="default"/>
        </w:rPr>
      </w:pPr>
      <w:r>
        <w:rPr>
          <w:rFonts w:hint="default"/>
        </w:rPr>
        <w:t>近年来，在国家政策的指导下，我国白酒企业先后投资建设治污工程，然而大部分采用的是末端治理技术，投资大、治理费用高，严重束缚了行业发展。规范将在现有行业政策和相关标准的基础上，从生产过程污染控制、污染治理综合利用、二次污染防治、鼓励研发的污染防治技术等方面提出更全面更先进的要求，为企业提供合理有效的污染治理技术，降低白酒行业污染物排放，引导白酒行业持续发展。</w:t>
      </w:r>
    </w:p>
    <w:p w14:paraId="71741922">
      <w:pPr>
        <w:pStyle w:val="13"/>
        <w:bidi w:val="0"/>
        <w:ind w:firstLine="482" w:firstLineChars="200"/>
        <w:outlineLvl w:val="2"/>
        <w:rPr>
          <w:rFonts w:hint="default"/>
          <w:b/>
          <w:bCs/>
        </w:rPr>
      </w:pPr>
      <w:r>
        <w:rPr>
          <w:rFonts w:hint="eastAsia"/>
          <w:b/>
          <w:bCs/>
          <w:lang w:val="en-US" w:eastAsia="zh-CN"/>
        </w:rPr>
        <w:t>2</w:t>
      </w:r>
      <w:r>
        <w:rPr>
          <w:rFonts w:hint="default"/>
          <w:b/>
          <w:bCs/>
        </w:rPr>
        <w:t>.2引导企业合理选择污染治理工艺及技术的需要</w:t>
      </w:r>
    </w:p>
    <w:p w14:paraId="3C992C27">
      <w:pPr>
        <w:pStyle w:val="13"/>
        <w:bidi w:val="0"/>
        <w:rPr>
          <w:rFonts w:hint="default"/>
        </w:rPr>
      </w:pPr>
      <w:r>
        <w:rPr>
          <w:rFonts w:hint="default"/>
        </w:rPr>
        <w:t>持续加强酱香型白酒酿造行业共性关键“减污降碳”技术与装备的科技创新。深入开展传统冰缸水冷循环系统改造在水耗、能耗以及产酒酒质酒量的影响情况研究，提升水冷改风冷、开式冷却塔、闭式冷却塔应对极端高温、低温情况的能力，研发并推广智能精准控温、蒸汽余热回收、阶梯式冷凝水余热循环利用、低噪高效风冷器等新一代酒冷器技术。深入开展锅底水及窖底谁分离分类处置技术与装，重点研发酱酒产业高浓度有机废水厌氧发酵联产沼气技术、锅底水窖底水提取制造乳酸（乳酸钙）技术、酯化酶降解高浓度有机废水技术，深入研究高浓度有机废水用作污水处置营养源、酱酒生产调味液的技术和标准体系。针对集水井、调节池、循环池、厌氧反应器、脱水机房等恶臭产排环节，研究并推广运用主动或（和）被动防止恶臭气体技术，研究并推广运用白酒产业污水处置设施生态环境友好型深度处置技术，降低超级氧化、芬顿工艺等现有深度处置工艺对赤水河流域构成的生态环境负面影响。研究丢糟、弃用窖泥、弃用谷壳等酱酒酿造行业产排一般工业固废“减量化、资源化、无害化”处理利用技术，研究制定复用酒糟技术规范，鼓励丢糟、弃用谷壳的炭化、颗粒化、肥料化资源利用技术装备研发与示范运用。提升现有制取车间装备除尘消音水平，研发并推广运用粉碎车间高效环保取曲成套装备。</w:t>
      </w:r>
    </w:p>
    <w:p w14:paraId="748A4CC0">
      <w:pPr>
        <w:pStyle w:val="13"/>
        <w:bidi w:val="0"/>
        <w:rPr>
          <w:rFonts w:hint="default"/>
        </w:rPr>
      </w:pPr>
      <w:r>
        <w:rPr>
          <w:rFonts w:hint="default"/>
        </w:rPr>
        <w:t>规范将针对上述问题，制定相应的技术内容，旨在提高白酒行业的资源利用效率，提高经济效益和环境效益，促进行业进一步优化发展。</w:t>
      </w:r>
    </w:p>
    <w:p w14:paraId="167B7CAC">
      <w:pPr>
        <w:pStyle w:val="13"/>
        <w:bidi w:val="0"/>
        <w:ind w:firstLine="482" w:firstLineChars="200"/>
        <w:outlineLvl w:val="2"/>
        <w:rPr>
          <w:rFonts w:hint="default"/>
          <w:b/>
          <w:bCs/>
        </w:rPr>
      </w:pPr>
      <w:r>
        <w:rPr>
          <w:rFonts w:hint="eastAsia"/>
          <w:b/>
          <w:bCs/>
          <w:lang w:val="en-US" w:eastAsia="zh-CN"/>
        </w:rPr>
        <w:t>2</w:t>
      </w:r>
      <w:r>
        <w:rPr>
          <w:rFonts w:hint="default"/>
          <w:b/>
          <w:bCs/>
        </w:rPr>
        <w:t>.3淘汰落后产能，提高企业环境管理水平及社会责任</w:t>
      </w:r>
    </w:p>
    <w:p w14:paraId="0F41932C">
      <w:pPr>
        <w:pStyle w:val="13"/>
        <w:bidi w:val="0"/>
        <w:rPr>
          <w:rFonts w:hint="default"/>
        </w:rPr>
      </w:pPr>
      <w:r>
        <w:rPr>
          <w:rFonts w:hint="default"/>
        </w:rPr>
        <w:t>2022年，贵州省内约有2.79万家白酒相关企业。近年来随着白酒行业的迅猛发展，其对环境的影响越来越严重。中国白酒“三废”处理在近年来取得了很大的成功，但仅限于个别大中型白酒企业，总体来说，处理程度较低、效果差，许多小型乡镇酒厂废水根本没有处理。</w:t>
      </w:r>
    </w:p>
    <w:p w14:paraId="7F1F8C67">
      <w:pPr>
        <w:pStyle w:val="13"/>
        <w:bidi w:val="0"/>
        <w:rPr>
          <w:rFonts w:hint="default"/>
          <w:lang w:val="en-US" w:eastAsia="zh-CN"/>
        </w:rPr>
      </w:pPr>
      <w:r>
        <w:rPr>
          <w:rFonts w:hint="eastAsia"/>
          <w:lang w:val="en-US" w:eastAsia="zh-CN"/>
        </w:rPr>
        <w:t>本规范围绕白酒产业园区的规范建设，促进整合小而散的白酒作坊成为大而优的白酒业，不仅是提升企业经营规模和产品质量的方法，更是通过推动贵州省白酒产业向进一步集约化、规范化和现代化的科学路径。</w:t>
      </w:r>
    </w:p>
    <w:p w14:paraId="050AF3DB">
      <w:pPr>
        <w:pStyle w:val="4"/>
        <w:numPr>
          <w:ilvl w:val="0"/>
          <w:numId w:val="2"/>
        </w:numPr>
        <w:bidi w:val="0"/>
        <w:ind w:left="0" w:leftChars="0" w:firstLine="420" w:firstLineChars="0"/>
        <w:outlineLvl w:val="1"/>
      </w:pPr>
      <w:bookmarkStart w:id="6" w:name="_Toc29645"/>
      <w:r>
        <w:t>主要内容</w:t>
      </w:r>
      <w:bookmarkEnd w:id="6"/>
    </w:p>
    <w:p w14:paraId="52CC3BB0">
      <w:pPr>
        <w:pStyle w:val="13"/>
        <w:bidi w:val="0"/>
        <w:rPr>
          <w:rFonts w:hint="default"/>
          <w:lang w:val="en-US" w:eastAsia="zh-CN"/>
        </w:rPr>
      </w:pPr>
      <w:r>
        <w:rPr>
          <w:rFonts w:hint="eastAsia"/>
          <w:lang w:val="en-US" w:eastAsia="zh-CN"/>
        </w:rPr>
        <w:t>本次制定的</w:t>
      </w:r>
      <w:r>
        <w:rPr>
          <w:rFonts w:hint="eastAsia"/>
          <w:lang w:eastAsia="zh-CN"/>
        </w:rPr>
        <w:t>《</w:t>
      </w:r>
      <w:r>
        <w:rPr>
          <w:rFonts w:hint="eastAsia"/>
          <w:lang w:val="en-US" w:eastAsia="zh-CN"/>
        </w:rPr>
        <w:t>贵州省酱香型白酒产业污染防治规范</w:t>
      </w:r>
      <w:r>
        <w:rPr>
          <w:rFonts w:hint="eastAsia"/>
          <w:lang w:eastAsia="zh-CN"/>
        </w:rPr>
        <w:t>》</w:t>
      </w:r>
      <w:r>
        <w:rPr>
          <w:rFonts w:hint="eastAsia"/>
          <w:lang w:val="en-US" w:eastAsia="zh-CN"/>
        </w:rPr>
        <w:t>主要包含以下9个方面的内容。</w:t>
      </w:r>
    </w:p>
    <w:p w14:paraId="55AAE553">
      <w:pPr>
        <w:pStyle w:val="13"/>
        <w:numPr>
          <w:ilvl w:val="0"/>
          <w:numId w:val="4"/>
        </w:numPr>
        <w:bidi w:val="0"/>
        <w:spacing w:after="313" w:afterLines="100" w:afterAutospacing="0"/>
        <w:rPr>
          <w:rFonts w:hint="default"/>
        </w:rPr>
      </w:pPr>
      <w:r>
        <w:rPr>
          <w:rFonts w:hint="default"/>
        </w:rPr>
        <w:t>适用范围：适用于大曲酱香型白酒产业污染防治，酱香型其他类型白酒产业污染防治参照执行，不适用国家级非物质文化遗产保护单位。可作为贵州省相关建设项目的环境影响评价、环境保护设施建设运行等的技术依据。</w:t>
      </w:r>
    </w:p>
    <w:p w14:paraId="10494652">
      <w:pPr>
        <w:pStyle w:val="13"/>
        <w:numPr>
          <w:ilvl w:val="0"/>
          <w:numId w:val="4"/>
        </w:numPr>
        <w:bidi w:val="0"/>
        <w:spacing w:after="313" w:afterLines="100" w:afterAutospacing="0"/>
        <w:rPr>
          <w:rFonts w:hint="default"/>
        </w:rPr>
      </w:pPr>
      <w:r>
        <w:rPr>
          <w:rFonts w:hint="default"/>
        </w:rPr>
        <w:t>规范性引用文件：引用了涉及酱香型白酒企业生产、污染控制等有关法律法规及部分标准规范文件，如贵州省赤水河流域酱香型白酒生产环境保护条例、GB 27631－2011发酵酒精和白酒工业水污染物排放标准等。</w:t>
      </w:r>
    </w:p>
    <w:p w14:paraId="1B1A5CB2">
      <w:pPr>
        <w:pStyle w:val="13"/>
        <w:numPr>
          <w:ilvl w:val="0"/>
          <w:numId w:val="4"/>
        </w:numPr>
        <w:bidi w:val="0"/>
        <w:spacing w:after="313" w:afterLines="100" w:afterAutospacing="0"/>
        <w:rPr>
          <w:rFonts w:hint="default"/>
        </w:rPr>
      </w:pPr>
      <w:r>
        <w:rPr>
          <w:rFonts w:hint="default"/>
        </w:rPr>
        <w:t>术语和定义：对酱香型白酒、蒸馏冷却系统、接酒池等15个术语进行了定义。</w:t>
      </w:r>
    </w:p>
    <w:p w14:paraId="2BDD4D9D">
      <w:pPr>
        <w:pStyle w:val="13"/>
        <w:numPr>
          <w:ilvl w:val="0"/>
          <w:numId w:val="4"/>
        </w:numPr>
        <w:bidi w:val="0"/>
        <w:spacing w:after="313" w:afterLines="100" w:afterAutospacing="0"/>
        <w:rPr>
          <w:rFonts w:hint="default"/>
        </w:rPr>
      </w:pPr>
      <w:r>
        <w:rPr>
          <w:rFonts w:hint="default"/>
        </w:rPr>
        <w:t>生产工段及污染防治：对酒企的原料储存及预处理、制曲、制酒、包装、辅助生产系统、治污工程等工段实施全过程污染防治</w:t>
      </w:r>
      <w:r>
        <w:rPr>
          <w:rFonts w:hint="eastAsia"/>
          <w:lang w:val="en-US" w:eastAsia="zh-CN"/>
        </w:rPr>
        <w:t>要求。</w:t>
      </w:r>
    </w:p>
    <w:p w14:paraId="1913BA85">
      <w:pPr>
        <w:pStyle w:val="13"/>
        <w:numPr>
          <w:ilvl w:val="0"/>
          <w:numId w:val="4"/>
        </w:numPr>
        <w:bidi w:val="0"/>
        <w:spacing w:after="313" w:afterLines="100" w:afterAutospacing="0"/>
        <w:rPr>
          <w:rFonts w:hint="default"/>
        </w:rPr>
      </w:pPr>
      <w:r>
        <w:rPr>
          <w:rFonts w:hint="default"/>
        </w:rPr>
        <w:t>原料储存及预处理：破碎机、筛分机等设备产生的噪声应采用选型、隔声等措施防治。</w:t>
      </w:r>
    </w:p>
    <w:p w14:paraId="356CA09E">
      <w:pPr>
        <w:pStyle w:val="13"/>
        <w:numPr>
          <w:ilvl w:val="0"/>
          <w:numId w:val="4"/>
        </w:numPr>
        <w:bidi w:val="0"/>
        <w:spacing w:after="313" w:afterLines="100" w:afterAutospacing="0"/>
        <w:rPr>
          <w:rFonts w:hint="default"/>
        </w:rPr>
      </w:pPr>
      <w:r>
        <w:rPr>
          <w:rFonts w:hint="default"/>
        </w:rPr>
        <w:t>制曲</w:t>
      </w:r>
      <w:r>
        <w:rPr>
          <w:rFonts w:hint="eastAsia"/>
          <w:lang w:val="en-US" w:eastAsia="zh-CN"/>
        </w:rPr>
        <w:t>工段</w:t>
      </w:r>
      <w:r>
        <w:rPr>
          <w:rFonts w:hint="default"/>
        </w:rPr>
        <w:t>：润粮过程产生的器具清洗废水和车间地坪冲洗废水需全部进入酒企自建污水处理站或通过区域工业废水管网进入集中连片污水处理厂处理。</w:t>
      </w:r>
    </w:p>
    <w:p w14:paraId="10827282">
      <w:pPr>
        <w:pStyle w:val="13"/>
        <w:numPr>
          <w:ilvl w:val="0"/>
          <w:numId w:val="4"/>
        </w:numPr>
        <w:bidi w:val="0"/>
        <w:spacing w:after="313" w:afterLines="100" w:afterAutospacing="0"/>
        <w:rPr>
          <w:rFonts w:hint="default"/>
        </w:rPr>
      </w:pPr>
      <w:r>
        <w:rPr>
          <w:rFonts w:hint="default"/>
        </w:rPr>
        <w:t>制酒</w:t>
      </w:r>
      <w:r>
        <w:rPr>
          <w:rFonts w:hint="eastAsia"/>
          <w:lang w:val="en-US" w:eastAsia="zh-CN"/>
        </w:rPr>
        <w:t>工段</w:t>
      </w:r>
      <w:r>
        <w:rPr>
          <w:rFonts w:hint="default"/>
        </w:rPr>
        <w:t>：对润粮废水、冲洗工具废水等中低浓度污染废水，经栅格过滤后统一收集处理；鼓励对高浓度有机废水采取厌氧发酵联产沼气等技术进行资源化利用处置；加强固体废物全过程管理，鼓励残弃糟等的资源利用技术装备研发与示范运用；鼓励探索先进技术收集处理乙醇等挥发性有机物。</w:t>
      </w:r>
    </w:p>
    <w:p w14:paraId="543EA75F">
      <w:pPr>
        <w:pStyle w:val="13"/>
        <w:numPr>
          <w:ilvl w:val="0"/>
          <w:numId w:val="4"/>
        </w:numPr>
        <w:bidi w:val="0"/>
        <w:spacing w:after="313" w:afterLines="100" w:afterAutospacing="0"/>
        <w:rPr>
          <w:rFonts w:hint="default"/>
        </w:rPr>
      </w:pPr>
      <w:r>
        <w:rPr>
          <w:rFonts w:hint="default"/>
        </w:rPr>
        <w:t>辅助生产系统：蒸汽系统、包装车间、生活区域等产生的废水、废气、固废等要分类收集、分类处置。如制水系统应保持在二级水效以上，各类废水按要求进入相应处理设施；禁止使用非清洁能源，鼓励企业对燃气锅炉采用低氮燃烧等技术降低污染物排放；对废弃包装胶袋等固废进行分类收集处置，危险废物交由有资质单位处置等；各类设备优先选用低噪声设备，防治噪声污染。</w:t>
      </w:r>
    </w:p>
    <w:p w14:paraId="0F596083">
      <w:pPr>
        <w:pStyle w:val="13"/>
        <w:numPr>
          <w:ilvl w:val="0"/>
          <w:numId w:val="4"/>
        </w:numPr>
        <w:bidi w:val="0"/>
        <w:spacing w:after="313" w:afterLines="100" w:afterAutospacing="0"/>
        <w:rPr>
          <w:rFonts w:hint="default"/>
        </w:rPr>
      </w:pPr>
      <w:r>
        <w:rPr>
          <w:rFonts w:hint="default"/>
        </w:rPr>
        <w:t>治污工程：废机油等危险废物，须分类收集存放危险废物暂存间，定期交由有资质的单位处置；酒企自建污水处理站及集中连片污水处理厂产生的污泥，应按照减量化等要求及时处理，鼓励采用多元化组合方式处理，同时严格把控运输等环节。</w:t>
      </w:r>
    </w:p>
    <w:p w14:paraId="3FA7D888">
      <w:pPr>
        <w:pStyle w:val="13"/>
        <w:numPr>
          <w:ilvl w:val="0"/>
          <w:numId w:val="4"/>
        </w:numPr>
        <w:bidi w:val="0"/>
        <w:spacing w:after="313" w:afterLines="100" w:afterAutospacing="0"/>
        <w:rPr>
          <w:rFonts w:hint="default"/>
        </w:rPr>
      </w:pPr>
      <w:r>
        <w:rPr>
          <w:rFonts w:hint="default"/>
        </w:rPr>
        <w:t>主要生产设施污染防治技术要求：围绕“四改两建设”，规范蒸馏冷却系统、发酵窖池系统、接酒池系统、厂区管网系统，以及企业自建污水收集处置排放系统、园区废水收集处理设施建设的标准和要求。</w:t>
      </w:r>
    </w:p>
    <w:p w14:paraId="0A3951BE">
      <w:pPr>
        <w:pStyle w:val="13"/>
        <w:numPr>
          <w:ilvl w:val="0"/>
          <w:numId w:val="4"/>
        </w:numPr>
        <w:bidi w:val="0"/>
        <w:spacing w:after="313" w:afterLines="100" w:afterAutospacing="0"/>
        <w:rPr>
          <w:rFonts w:hint="default"/>
        </w:rPr>
      </w:pPr>
      <w:r>
        <w:rPr>
          <w:rFonts w:hint="default"/>
        </w:rPr>
        <w:t>污水处理技术要求：明确酒企自建污水处理厂、集中连片（园区）污水处理厂技术要求，应按照</w:t>
      </w:r>
      <w:r>
        <w:rPr>
          <w:rFonts w:hint="eastAsia"/>
        </w:rPr>
        <w:t>酿造工业废水治理工程技术规范(</w:t>
      </w:r>
      <w:r>
        <w:rPr>
          <w:rFonts w:hint="eastAsia"/>
          <w:lang w:val="en-US" w:eastAsia="zh-CN"/>
        </w:rPr>
        <w:t>HJ</w:t>
      </w:r>
      <w:r>
        <w:rPr>
          <w:rFonts w:hint="eastAsia"/>
        </w:rPr>
        <w:t>575-2010)</w:t>
      </w:r>
      <w:r>
        <w:rPr>
          <w:rFonts w:hint="default"/>
        </w:rPr>
        <w:t>进行建设和运行管理。处置工艺流程应包括预处理、厌氧处理、生物脱氮除磷处理、深度处理等工段，并设置规范的排放口。同时，明确纳管酒企建设前处理设施以及应急池等技术要求。</w:t>
      </w:r>
    </w:p>
    <w:p w14:paraId="6C864A7E">
      <w:pPr>
        <w:pStyle w:val="13"/>
        <w:numPr>
          <w:ilvl w:val="0"/>
          <w:numId w:val="4"/>
        </w:numPr>
        <w:bidi w:val="0"/>
        <w:spacing w:after="313" w:afterLines="100" w:afterAutospacing="0"/>
        <w:rPr>
          <w:rFonts w:hint="default"/>
        </w:rPr>
      </w:pPr>
      <w:r>
        <w:rPr>
          <w:rFonts w:hint="default"/>
        </w:rPr>
        <w:t>环境监管要求：明确监测监控技术、排污口规范化管理、排污许可管理要求。污水处理厂排放口应按国家有关污染源监测技术规范要求安装流量、pH 值、化学需氧量（COD）、氨氮（NH</w:t>
      </w:r>
      <w:r>
        <w:rPr>
          <w:rFonts w:hint="default"/>
          <w:vertAlign w:val="subscript"/>
        </w:rPr>
        <w:t>3</w:t>
      </w:r>
      <w:r>
        <w:rPr>
          <w:rFonts w:hint="default"/>
        </w:rPr>
        <w:t>－N）、总磷（TP）自动监测设备。纳管企业分别明确视频监控安装等要求。</w:t>
      </w:r>
    </w:p>
    <w:p w14:paraId="1A18E586">
      <w:pPr>
        <w:pStyle w:val="13"/>
        <w:numPr>
          <w:ilvl w:val="0"/>
          <w:numId w:val="4"/>
        </w:numPr>
        <w:bidi w:val="0"/>
        <w:spacing w:after="313" w:afterLines="100" w:afterAutospacing="0"/>
        <w:rPr>
          <w:rFonts w:hint="default"/>
        </w:rPr>
      </w:pPr>
      <w:r>
        <w:rPr>
          <w:rFonts w:hint="default"/>
        </w:rPr>
        <w:t>运行与维护：要求酒企应设置专门机构，有专人负责制定运行管理规范、维护保养制度、岗位操作规程并对日常维护工作进行记录。</w:t>
      </w:r>
    </w:p>
    <w:p w14:paraId="601C8248">
      <w:pPr>
        <w:pStyle w:val="13"/>
        <w:numPr>
          <w:ilvl w:val="0"/>
          <w:numId w:val="4"/>
        </w:numPr>
        <w:bidi w:val="0"/>
        <w:spacing w:after="313" w:afterLines="100" w:afterAutospacing="0"/>
        <w:rPr>
          <w:rFonts w:hint="default"/>
        </w:rPr>
      </w:pPr>
      <w:r>
        <w:rPr>
          <w:rFonts w:hint="default"/>
        </w:rPr>
        <w:t>新建项目环境管理要求：园区内新建项目污水优先进入园区污水处理厂集中处理。</w:t>
      </w:r>
    </w:p>
    <w:p w14:paraId="14104A0C">
      <w:pPr>
        <w:pStyle w:val="3"/>
        <w:numPr>
          <w:ilvl w:val="0"/>
          <w:numId w:val="1"/>
        </w:numPr>
        <w:bidi w:val="0"/>
        <w:ind w:left="0" w:leftChars="0" w:firstLine="420" w:firstLineChars="0"/>
        <w:outlineLvl w:val="0"/>
        <w:rPr>
          <w:rFonts w:hint="default"/>
        </w:rPr>
      </w:pPr>
      <w:bookmarkStart w:id="7" w:name="_Toc6524"/>
      <w:r>
        <w:t>工作简况</w:t>
      </w:r>
      <w:bookmarkEnd w:id="7"/>
    </w:p>
    <w:p w14:paraId="4FF57790">
      <w:pPr>
        <w:pStyle w:val="4"/>
        <w:bidi w:val="0"/>
        <w:outlineLvl w:val="1"/>
      </w:pPr>
      <w:bookmarkStart w:id="8" w:name="_Toc6905"/>
      <w:r>
        <w:t>（一）任务来源</w:t>
      </w:r>
      <w:bookmarkEnd w:id="8"/>
    </w:p>
    <w:p w14:paraId="6DA70B38">
      <w:pPr>
        <w:pStyle w:val="13"/>
        <w:bidi w:val="0"/>
        <w:rPr>
          <w:rFonts w:hint="default"/>
        </w:rPr>
      </w:pPr>
      <w:r>
        <w:rPr>
          <w:rFonts w:hint="default"/>
        </w:rPr>
        <w:t>2020年5月习近平总书记在中国科学院信息第367期“中科院水生所建议尽快加强长江上游赤水河生态环境保护工作”上作出重要批示，2021年7月生态环境部来函指出茅台镇白酒企业无序发展和环境污染问题。省委省政府高度重视，态度坚决，要求坚决全面彻底整治，把污染整治与提升行业水平统一起来，实施治本之策，先后颁布实施多项政策文件。省生态环境厅出台了《仁怀市酱香白酒产业污染治理规范（试行）》，通过综合整治，仁怀市白酒产业企业污染防治水平大幅提升，形成了可复制、可推广的仁怀经验。</w:t>
      </w:r>
    </w:p>
    <w:p w14:paraId="194B739D">
      <w:pPr>
        <w:pStyle w:val="13"/>
        <w:bidi w:val="0"/>
        <w:rPr>
          <w:rFonts w:hint="default"/>
        </w:rPr>
      </w:pPr>
      <w:r>
        <w:rPr>
          <w:rFonts w:hint="default"/>
        </w:rPr>
        <w:t>按照省委省政府关于酱香型白酒产业高质量发展的决策部署，根据省委办公厅、省政府办公厅印发的《贵州省生态文明建设先行区实施方案》要求，生态环境厅负责牵头制定《贵州省酱香型白酒产业污染防治规范》，旨在细化明确污染防治措施，为全省各地酱香型白酒企业提供一套可借鉴、可复制的规范要求，推动行业绿色低碳发展。</w:t>
      </w:r>
    </w:p>
    <w:p w14:paraId="16F8BAEA">
      <w:pPr>
        <w:pStyle w:val="4"/>
        <w:bidi w:val="0"/>
        <w:outlineLvl w:val="1"/>
        <w:rPr>
          <w:rFonts w:hint="default"/>
        </w:rPr>
      </w:pPr>
      <w:bookmarkStart w:id="9" w:name="_Toc19666"/>
      <w:r>
        <w:t>（二）编制过程</w:t>
      </w:r>
      <w:bookmarkEnd w:id="9"/>
    </w:p>
    <w:p w14:paraId="6D99B699">
      <w:pPr>
        <w:pStyle w:val="13"/>
        <w:bidi w:val="0"/>
        <w:rPr>
          <w:rFonts w:hint="eastAsia"/>
        </w:rPr>
      </w:pPr>
      <w:r>
        <w:rPr>
          <w:rFonts w:hint="eastAsia"/>
        </w:rPr>
        <w:t>1.调查起草阶段：为高质量编制好规范，省生态环境厅生态环境监察综合办公室会同省环科院在今年初成立了工作专班，负责文本编制工作。5月-6月，深入遵义市、黔东南州、铜仁市等地现场调研，了解掌握各地</w:t>
      </w:r>
      <w:bookmarkStart w:id="17" w:name="_GoBack"/>
      <w:bookmarkEnd w:id="17"/>
      <w:r>
        <w:rPr>
          <w:rFonts w:hint="eastAsia"/>
        </w:rPr>
        <w:t>酒企污染防治情况，在《仁怀市酱香白酒产业污染治理规范（试行）》基础上起草了《贵州省酱香型白酒产业污染防治规范</w:t>
      </w:r>
      <w:r>
        <w:rPr>
          <w:rFonts w:hint="eastAsia"/>
          <w:lang w:eastAsia="zh-CN"/>
        </w:rPr>
        <w:t>（征求意见稿）》</w:t>
      </w:r>
      <w:r>
        <w:rPr>
          <w:rFonts w:hint="eastAsia"/>
        </w:rPr>
        <w:t>。</w:t>
      </w:r>
    </w:p>
    <w:p w14:paraId="127CAA4D">
      <w:pPr>
        <w:pStyle w:val="13"/>
        <w:bidi w:val="0"/>
        <w:rPr>
          <w:rFonts w:hint="eastAsia"/>
        </w:rPr>
      </w:pPr>
      <w:r>
        <w:rPr>
          <w:rFonts w:hint="eastAsia"/>
        </w:rPr>
        <w:t>2.征求意见阶段：7月19日到21日，进驻仁怀市，与遵义市生态环境局、仁怀市政府及相关部门、酒企代表召开座谈会议，讨论修改内容。7月28日至8月2日，向省工业和信息化厅、省市场监督管理局、省白酒产业发展促进会及各市（州）生态环境局书面征求意见。8月2日，组织专家进行评估论证。8月7日至21日在厅网站上公开征集意见。共收到反馈意见建议74条，经研究，采纳53条，部分采纳11条，未采纳10条（与整治目标不一致，未予采纳）。8月23日，生态环境厅党委委员、副厅长苗智会主持召开专题会议进行审议。</w:t>
      </w:r>
    </w:p>
    <w:p w14:paraId="59FA416B">
      <w:pPr>
        <w:pStyle w:val="13"/>
        <w:bidi w:val="0"/>
      </w:pPr>
      <w:r>
        <w:rPr>
          <w:rFonts w:hint="eastAsia"/>
        </w:rPr>
        <w:t>3.审查阶段：8月25日，厅法规标准处出具合法性审查意见。在此基础上修改完善后形成了《贵州省酱香型白酒产业污染防治规范》（报批稿）</w:t>
      </w:r>
      <w:r>
        <w:t>。</w:t>
      </w:r>
    </w:p>
    <w:p w14:paraId="10D0C948">
      <w:pPr>
        <w:pStyle w:val="13"/>
        <w:bidi w:val="0"/>
        <w:rPr>
          <w:rFonts w:hint="default"/>
        </w:rPr>
      </w:pPr>
    </w:p>
    <w:p w14:paraId="70AC7AFD">
      <w:pPr>
        <w:pStyle w:val="4"/>
        <w:bidi w:val="0"/>
        <w:outlineLvl w:val="1"/>
        <w:rPr>
          <w:rFonts w:hint="default"/>
        </w:rPr>
      </w:pPr>
      <w:bookmarkStart w:id="10" w:name="_Toc10887"/>
      <w:r>
        <w:t>（三）主要起草人及其工作分工</w:t>
      </w:r>
      <w:bookmarkEnd w:id="10"/>
    </w:p>
    <w:tbl>
      <w:tblPr>
        <w:tblStyle w:val="14"/>
        <w:tblW w:w="0" w:type="auto"/>
        <w:jc w:val="center"/>
        <w:tblLayout w:type="autofit"/>
        <w:tblCellMar>
          <w:top w:w="0" w:type="dxa"/>
          <w:left w:w="108" w:type="dxa"/>
          <w:bottom w:w="0" w:type="dxa"/>
          <w:right w:w="108" w:type="dxa"/>
        </w:tblCellMar>
      </w:tblPr>
      <w:tblGrid>
        <w:gridCol w:w="3838"/>
        <w:gridCol w:w="1803"/>
        <w:gridCol w:w="1473"/>
      </w:tblGrid>
      <w:tr w14:paraId="0043A7AD">
        <w:tblPrEx>
          <w:tblCellMar>
            <w:top w:w="0" w:type="dxa"/>
            <w:left w:w="108" w:type="dxa"/>
            <w:bottom w:w="0" w:type="dxa"/>
            <w:right w:w="108" w:type="dxa"/>
          </w:tblCellMar>
        </w:tblPrEx>
        <w:trPr>
          <w:trHeight w:val="540" w:hRule="atLeast"/>
          <w:tblHeader/>
          <w:jc w:val="center"/>
        </w:trPr>
        <w:tc>
          <w:tcPr>
            <w:tcW w:w="3838" w:type="dxa"/>
            <w:tcBorders>
              <w:top w:val="single" w:color="000000" w:sz="8" w:space="0"/>
              <w:left w:val="single" w:color="000000" w:sz="8" w:space="0"/>
              <w:bottom w:val="single" w:color="000000" w:sz="8" w:space="0"/>
              <w:right w:val="single" w:color="000000" w:sz="8" w:space="0"/>
            </w:tcBorders>
            <w:vAlign w:val="center"/>
          </w:tcPr>
          <w:p w14:paraId="23F739F1">
            <w:pPr>
              <w:widowControl/>
              <w:adjustRightInd w:val="0"/>
              <w:snapToGrid w:val="0"/>
              <w:spacing w:line="240" w:lineRule="exact"/>
              <w:rPr>
                <w:b/>
                <w:kern w:val="0"/>
                <w:szCs w:val="21"/>
              </w:rPr>
            </w:pPr>
            <w:r>
              <w:rPr>
                <w:b/>
                <w:kern w:val="0"/>
                <w:szCs w:val="21"/>
              </w:rPr>
              <w:t>主要起草单位</w:t>
            </w:r>
          </w:p>
        </w:tc>
        <w:tc>
          <w:tcPr>
            <w:tcW w:w="1803" w:type="dxa"/>
            <w:tcBorders>
              <w:top w:val="single" w:color="000000" w:sz="8" w:space="0"/>
              <w:left w:val="nil"/>
              <w:bottom w:val="single" w:color="000000" w:sz="8" w:space="0"/>
              <w:right w:val="single" w:color="000000" w:sz="8" w:space="0"/>
            </w:tcBorders>
            <w:vAlign w:val="center"/>
          </w:tcPr>
          <w:p w14:paraId="5E7699F5">
            <w:pPr>
              <w:widowControl/>
              <w:adjustRightInd w:val="0"/>
              <w:snapToGrid w:val="0"/>
              <w:spacing w:line="240" w:lineRule="exact"/>
              <w:rPr>
                <w:b/>
                <w:kern w:val="0"/>
                <w:szCs w:val="21"/>
              </w:rPr>
            </w:pPr>
            <w:r>
              <w:rPr>
                <w:b/>
                <w:kern w:val="0"/>
                <w:szCs w:val="21"/>
              </w:rPr>
              <w:t>主要起草人员</w:t>
            </w:r>
          </w:p>
        </w:tc>
        <w:tc>
          <w:tcPr>
            <w:tcW w:w="1473" w:type="dxa"/>
            <w:tcBorders>
              <w:top w:val="single" w:color="000000" w:sz="8" w:space="0"/>
              <w:left w:val="nil"/>
              <w:bottom w:val="single" w:color="000000" w:sz="8" w:space="0"/>
              <w:right w:val="single" w:color="000000" w:sz="8" w:space="0"/>
            </w:tcBorders>
            <w:vAlign w:val="center"/>
          </w:tcPr>
          <w:p w14:paraId="3939FA49">
            <w:pPr>
              <w:widowControl/>
              <w:adjustRightInd w:val="0"/>
              <w:snapToGrid w:val="0"/>
              <w:spacing w:line="240" w:lineRule="exact"/>
              <w:rPr>
                <w:b/>
                <w:kern w:val="0"/>
                <w:szCs w:val="21"/>
              </w:rPr>
            </w:pPr>
            <w:r>
              <w:rPr>
                <w:b/>
                <w:kern w:val="0"/>
                <w:szCs w:val="21"/>
              </w:rPr>
              <w:t>任务分工</w:t>
            </w:r>
          </w:p>
        </w:tc>
      </w:tr>
      <w:tr w14:paraId="4E7307ED">
        <w:tblPrEx>
          <w:tblCellMar>
            <w:top w:w="0" w:type="dxa"/>
            <w:left w:w="108" w:type="dxa"/>
            <w:bottom w:w="0" w:type="dxa"/>
            <w:right w:w="108" w:type="dxa"/>
          </w:tblCellMar>
        </w:tblPrEx>
        <w:trPr>
          <w:trHeight w:val="419" w:hRule="atLeast"/>
          <w:jc w:val="center"/>
        </w:trPr>
        <w:tc>
          <w:tcPr>
            <w:tcW w:w="3838" w:type="dxa"/>
            <w:tcBorders>
              <w:top w:val="single" w:color="000000" w:sz="8" w:space="0"/>
              <w:left w:val="single" w:color="000000" w:sz="8" w:space="0"/>
              <w:bottom w:val="single" w:color="000000" w:sz="8" w:space="0"/>
              <w:right w:val="single" w:color="000000" w:sz="8" w:space="0"/>
            </w:tcBorders>
            <w:vAlign w:val="center"/>
          </w:tcPr>
          <w:p w14:paraId="3E845391">
            <w:pPr>
              <w:widowControl/>
              <w:adjustRightInd w:val="0"/>
              <w:snapToGrid w:val="0"/>
              <w:spacing w:line="240" w:lineRule="exact"/>
              <w:rPr>
                <w:kern w:val="0"/>
                <w:szCs w:val="21"/>
              </w:rPr>
            </w:pPr>
            <w:r>
              <w:rPr>
                <w:rFonts w:hint="eastAsia" w:ascii="宋体" w:hAnsi="宋体" w:eastAsia="宋体" w:cs="宋体"/>
                <w:kern w:val="0"/>
                <w:szCs w:val="21"/>
                <w:lang w:val="en-US" w:eastAsia="zh-CN"/>
              </w:rPr>
              <w:t>贵州省省生态环境厅生态环境监察综合办公室</w:t>
            </w:r>
          </w:p>
        </w:tc>
        <w:tc>
          <w:tcPr>
            <w:tcW w:w="1803" w:type="dxa"/>
            <w:tcBorders>
              <w:top w:val="single" w:color="000000" w:sz="8" w:space="0"/>
              <w:left w:val="nil"/>
              <w:bottom w:val="single" w:color="000000" w:sz="8" w:space="0"/>
              <w:right w:val="single" w:color="000000" w:sz="8" w:space="0"/>
            </w:tcBorders>
            <w:vAlign w:val="center"/>
          </w:tcPr>
          <w:p w14:paraId="7586B299">
            <w:pPr>
              <w:widowControl/>
              <w:adjustRightInd w:val="0"/>
              <w:snapToGrid w:val="0"/>
              <w:spacing w:line="240" w:lineRule="exact"/>
              <w:rPr>
                <w:kern w:val="0"/>
                <w:szCs w:val="21"/>
              </w:rPr>
            </w:pPr>
            <w:r>
              <w:rPr>
                <w:rFonts w:hint="eastAsia" w:ascii="宋体" w:hAnsi="宋体" w:eastAsia="宋体" w:cs="宋体"/>
                <w:kern w:val="0"/>
                <w:szCs w:val="21"/>
                <w:lang w:val="en-US" w:eastAsia="zh-CN"/>
              </w:rPr>
              <w:t>蒙明富</w:t>
            </w:r>
          </w:p>
        </w:tc>
        <w:tc>
          <w:tcPr>
            <w:tcW w:w="1473" w:type="dxa"/>
            <w:tcBorders>
              <w:top w:val="single" w:color="000000" w:sz="8" w:space="0"/>
              <w:left w:val="nil"/>
              <w:bottom w:val="single" w:color="000000" w:sz="8" w:space="0"/>
              <w:right w:val="single" w:color="000000" w:sz="8" w:space="0"/>
            </w:tcBorders>
            <w:vAlign w:val="center"/>
          </w:tcPr>
          <w:p w14:paraId="4FF6E9C5">
            <w:pPr>
              <w:widowControl/>
              <w:adjustRightInd w:val="0"/>
              <w:snapToGrid w:val="0"/>
              <w:spacing w:line="240" w:lineRule="exact"/>
              <w:rPr>
                <w:kern w:val="0"/>
                <w:szCs w:val="21"/>
              </w:rPr>
            </w:pPr>
            <w:r>
              <w:rPr>
                <w:rFonts w:hint="eastAsia" w:ascii="宋体" w:hAnsi="宋体" w:eastAsia="宋体" w:cs="宋体"/>
                <w:kern w:val="0"/>
                <w:szCs w:val="21"/>
                <w:lang w:val="en-US" w:eastAsia="zh-CN"/>
              </w:rPr>
              <w:t>规范起草</w:t>
            </w:r>
          </w:p>
        </w:tc>
      </w:tr>
      <w:tr w14:paraId="2689B1E4">
        <w:tblPrEx>
          <w:tblCellMar>
            <w:top w:w="0" w:type="dxa"/>
            <w:left w:w="108" w:type="dxa"/>
            <w:bottom w:w="0" w:type="dxa"/>
            <w:right w:w="108" w:type="dxa"/>
          </w:tblCellMar>
        </w:tblPrEx>
        <w:trPr>
          <w:trHeight w:val="411" w:hRule="atLeast"/>
          <w:jc w:val="center"/>
        </w:trPr>
        <w:tc>
          <w:tcPr>
            <w:tcW w:w="3838" w:type="dxa"/>
            <w:tcBorders>
              <w:top w:val="single" w:color="000000" w:sz="8" w:space="0"/>
              <w:left w:val="single" w:color="000000" w:sz="8" w:space="0"/>
              <w:bottom w:val="single" w:color="000000" w:sz="8" w:space="0"/>
              <w:right w:val="single" w:color="000000" w:sz="8" w:space="0"/>
            </w:tcBorders>
            <w:vAlign w:val="center"/>
          </w:tcPr>
          <w:p w14:paraId="2E03F560">
            <w:pPr>
              <w:widowControl/>
              <w:adjustRightInd w:val="0"/>
              <w:snapToGrid w:val="0"/>
              <w:spacing w:line="240" w:lineRule="exact"/>
              <w:rPr>
                <w:kern w:val="0"/>
                <w:szCs w:val="21"/>
              </w:rPr>
            </w:pPr>
            <w:r>
              <w:rPr>
                <w:rFonts w:hint="eastAsia" w:ascii="宋体" w:hAnsi="宋体" w:eastAsia="宋体" w:cs="宋体"/>
                <w:kern w:val="0"/>
                <w:szCs w:val="21"/>
                <w:lang w:val="en-US" w:eastAsia="zh-CN"/>
              </w:rPr>
              <w:t>贵州省环境科学研究设计院</w:t>
            </w:r>
          </w:p>
        </w:tc>
        <w:tc>
          <w:tcPr>
            <w:tcW w:w="1803" w:type="dxa"/>
            <w:tcBorders>
              <w:top w:val="single" w:color="000000" w:sz="8" w:space="0"/>
              <w:left w:val="nil"/>
              <w:bottom w:val="single" w:color="000000" w:sz="8" w:space="0"/>
              <w:right w:val="single" w:color="000000" w:sz="8" w:space="0"/>
            </w:tcBorders>
            <w:vAlign w:val="center"/>
          </w:tcPr>
          <w:p w14:paraId="68E93B64">
            <w:pPr>
              <w:widowControl/>
              <w:adjustRightInd w:val="0"/>
              <w:snapToGrid w:val="0"/>
              <w:spacing w:line="240" w:lineRule="exact"/>
              <w:rPr>
                <w:kern w:val="0"/>
                <w:szCs w:val="21"/>
              </w:rPr>
            </w:pPr>
            <w:r>
              <w:rPr>
                <w:rFonts w:hint="eastAsia" w:ascii="宋体" w:hAnsi="宋体" w:eastAsia="宋体" w:cs="宋体"/>
                <w:kern w:val="0"/>
                <w:szCs w:val="21"/>
                <w:lang w:val="en-US" w:eastAsia="zh-CN"/>
              </w:rPr>
              <w:t>黄代宽</w:t>
            </w:r>
          </w:p>
        </w:tc>
        <w:tc>
          <w:tcPr>
            <w:tcW w:w="1473" w:type="dxa"/>
            <w:tcBorders>
              <w:top w:val="single" w:color="000000" w:sz="8" w:space="0"/>
              <w:left w:val="nil"/>
              <w:bottom w:val="single" w:color="000000" w:sz="8" w:space="0"/>
              <w:right w:val="single" w:color="000000" w:sz="8" w:space="0"/>
            </w:tcBorders>
            <w:vAlign w:val="center"/>
          </w:tcPr>
          <w:p w14:paraId="2B8849F3">
            <w:pPr>
              <w:widowControl/>
              <w:adjustRightInd w:val="0"/>
              <w:snapToGrid w:val="0"/>
              <w:spacing w:line="240" w:lineRule="exact"/>
              <w:rPr>
                <w:kern w:val="0"/>
                <w:szCs w:val="21"/>
              </w:rPr>
            </w:pPr>
            <w:r>
              <w:rPr>
                <w:rFonts w:hint="eastAsia" w:ascii="宋体" w:hAnsi="宋体" w:eastAsia="宋体" w:cs="宋体"/>
                <w:kern w:val="0"/>
                <w:szCs w:val="21"/>
                <w:lang w:val="en-US" w:eastAsia="zh-CN"/>
              </w:rPr>
              <w:t>规范起草</w:t>
            </w:r>
          </w:p>
        </w:tc>
      </w:tr>
      <w:tr w14:paraId="5F2C28C8">
        <w:tblPrEx>
          <w:tblCellMar>
            <w:top w:w="0" w:type="dxa"/>
            <w:left w:w="108" w:type="dxa"/>
            <w:bottom w:w="0" w:type="dxa"/>
            <w:right w:w="108" w:type="dxa"/>
          </w:tblCellMar>
        </w:tblPrEx>
        <w:trPr>
          <w:trHeight w:val="402" w:hRule="atLeast"/>
          <w:jc w:val="center"/>
        </w:trPr>
        <w:tc>
          <w:tcPr>
            <w:tcW w:w="3838" w:type="dxa"/>
            <w:tcBorders>
              <w:top w:val="single" w:color="000000" w:sz="8" w:space="0"/>
              <w:left w:val="single" w:color="000000" w:sz="8" w:space="0"/>
              <w:bottom w:val="single" w:color="000000" w:sz="8" w:space="0"/>
              <w:right w:val="single" w:color="000000" w:sz="8" w:space="0"/>
            </w:tcBorders>
            <w:vAlign w:val="center"/>
          </w:tcPr>
          <w:p w14:paraId="0B7A3DAA">
            <w:pPr>
              <w:widowControl/>
              <w:adjustRightInd w:val="0"/>
              <w:snapToGrid w:val="0"/>
              <w:spacing w:line="240" w:lineRule="exact"/>
              <w:rPr>
                <w:kern w:val="0"/>
                <w:szCs w:val="21"/>
              </w:rPr>
            </w:pPr>
            <w:r>
              <w:rPr>
                <w:rFonts w:hint="eastAsia" w:ascii="宋体" w:hAnsi="宋体" w:eastAsia="宋体" w:cs="宋体"/>
                <w:kern w:val="0"/>
                <w:szCs w:val="21"/>
                <w:lang w:val="en-US" w:eastAsia="zh-CN"/>
              </w:rPr>
              <w:t>贵州省环境科学研究设计院</w:t>
            </w:r>
          </w:p>
        </w:tc>
        <w:tc>
          <w:tcPr>
            <w:tcW w:w="1803" w:type="dxa"/>
            <w:tcBorders>
              <w:top w:val="single" w:color="000000" w:sz="8" w:space="0"/>
              <w:left w:val="nil"/>
              <w:bottom w:val="single" w:color="000000" w:sz="8" w:space="0"/>
              <w:right w:val="single" w:color="000000" w:sz="8" w:space="0"/>
            </w:tcBorders>
            <w:vAlign w:val="center"/>
          </w:tcPr>
          <w:p w14:paraId="6B9C6152">
            <w:pPr>
              <w:widowControl/>
              <w:adjustRightInd w:val="0"/>
              <w:snapToGrid w:val="0"/>
              <w:spacing w:line="240" w:lineRule="exact"/>
              <w:rPr>
                <w:kern w:val="0"/>
                <w:szCs w:val="21"/>
              </w:rPr>
            </w:pPr>
            <w:r>
              <w:rPr>
                <w:rFonts w:hint="eastAsia" w:ascii="宋体" w:hAnsi="宋体" w:eastAsia="宋体" w:cs="宋体"/>
                <w:kern w:val="0"/>
                <w:szCs w:val="21"/>
                <w:lang w:val="en-US" w:eastAsia="zh-CN"/>
              </w:rPr>
              <w:t>安思危</w:t>
            </w:r>
          </w:p>
        </w:tc>
        <w:tc>
          <w:tcPr>
            <w:tcW w:w="1473" w:type="dxa"/>
            <w:tcBorders>
              <w:top w:val="single" w:color="000000" w:sz="8" w:space="0"/>
              <w:left w:val="nil"/>
              <w:bottom w:val="single" w:color="000000" w:sz="8" w:space="0"/>
              <w:right w:val="single" w:color="000000" w:sz="8" w:space="0"/>
            </w:tcBorders>
            <w:vAlign w:val="center"/>
          </w:tcPr>
          <w:p w14:paraId="02B7C5CE">
            <w:pPr>
              <w:widowControl/>
              <w:adjustRightInd w:val="0"/>
              <w:snapToGrid w:val="0"/>
              <w:spacing w:line="240" w:lineRule="exact"/>
              <w:rPr>
                <w:kern w:val="0"/>
                <w:szCs w:val="21"/>
              </w:rPr>
            </w:pPr>
            <w:r>
              <w:rPr>
                <w:rFonts w:hint="eastAsia" w:ascii="宋体" w:hAnsi="宋体" w:eastAsia="宋体" w:cs="宋体"/>
                <w:kern w:val="0"/>
                <w:szCs w:val="21"/>
                <w:lang w:val="en-US" w:eastAsia="zh-CN"/>
              </w:rPr>
              <w:t>规范起草</w:t>
            </w:r>
          </w:p>
        </w:tc>
      </w:tr>
    </w:tbl>
    <w:p w14:paraId="45837442">
      <w:pPr>
        <w:rPr>
          <w:rFonts w:hint="default" w:ascii="黑体" w:hAnsi="黑体" w:eastAsia="黑体"/>
          <w:color w:val="000000"/>
          <w:sz w:val="21"/>
          <w:szCs w:val="21"/>
        </w:rPr>
      </w:pPr>
      <w:r>
        <w:rPr>
          <w:rFonts w:hint="default" w:ascii="黑体" w:hAnsi="黑体" w:eastAsia="黑体"/>
          <w:color w:val="000000"/>
          <w:sz w:val="21"/>
          <w:szCs w:val="21"/>
        </w:rPr>
        <w:br w:type="page"/>
      </w:r>
    </w:p>
    <w:p w14:paraId="066A9D9D">
      <w:pPr>
        <w:pStyle w:val="3"/>
        <w:numPr>
          <w:ilvl w:val="0"/>
          <w:numId w:val="1"/>
        </w:numPr>
        <w:bidi w:val="0"/>
        <w:ind w:left="0" w:leftChars="0" w:firstLine="420" w:firstLineChars="0"/>
        <w:outlineLvl w:val="0"/>
        <w:rPr>
          <w:rFonts w:hint="default"/>
        </w:rPr>
      </w:pPr>
      <w:bookmarkStart w:id="11" w:name="_Toc13591"/>
      <w:r>
        <w:rPr>
          <w:rFonts w:hint="default"/>
        </w:rPr>
        <w:t>标准制订的基本思路和原则</w:t>
      </w:r>
      <w:bookmarkEnd w:id="11"/>
    </w:p>
    <w:p w14:paraId="0D09F732">
      <w:pPr>
        <w:pStyle w:val="4"/>
        <w:numPr>
          <w:ilvl w:val="0"/>
          <w:numId w:val="5"/>
        </w:numPr>
        <w:bidi w:val="0"/>
        <w:ind w:left="0" w:leftChars="0" w:firstLine="420" w:firstLineChars="0"/>
        <w:outlineLvl w:val="1"/>
        <w:rPr>
          <w:rFonts w:hint="default"/>
          <w:lang w:val="en-US" w:eastAsia="zh-CN"/>
        </w:rPr>
      </w:pPr>
      <w:bookmarkStart w:id="12" w:name="_Toc29198"/>
      <w:r>
        <w:rPr>
          <w:rFonts w:hint="default"/>
          <w:lang w:val="en-US" w:eastAsia="zh-CN"/>
        </w:rPr>
        <w:t>标准制订的基本思路</w:t>
      </w:r>
      <w:bookmarkEnd w:id="12"/>
    </w:p>
    <w:p w14:paraId="150E0E01">
      <w:pPr>
        <w:pStyle w:val="13"/>
        <w:bidi w:val="0"/>
        <w:rPr>
          <w:rFonts w:hint="default"/>
          <w:lang w:val="en-US" w:eastAsia="zh-CN"/>
        </w:rPr>
      </w:pPr>
      <w:r>
        <w:rPr>
          <w:rFonts w:hint="default"/>
          <w:lang w:val="en-US" w:eastAsia="zh-CN"/>
        </w:rPr>
        <w:t>按照《中华人民共和国长江保护</w:t>
      </w:r>
      <w:r>
        <w:rPr>
          <w:rFonts w:hint="eastAsia"/>
          <w:lang w:val="en-US" w:eastAsia="zh-CN"/>
        </w:rPr>
        <w:t>法</w:t>
      </w:r>
      <w:r>
        <w:rPr>
          <w:rFonts w:hint="default"/>
          <w:lang w:val="en-US" w:eastAsia="zh-CN"/>
        </w:rPr>
        <w:t>》、《贵州省赤水河流域酱香型白酒生产环境保护条例》等法律法规的要求，通过水污染物监测数据、文献资料调研、现场调研、现场监测等多种方式，整体掌握全省重点区域酱香型白酒产业水污染物排放情况，同时深入研究国内外有关文献资料，结合我省相关区域内酱香型白酒企业排污现状和环境管理需求，根据讨论会、座谈会等专家意见，在符合国家相关法律和法规的基础上，完成《贵州省酱香型白酒产业污染防治规范》和编制说明。</w:t>
      </w:r>
    </w:p>
    <w:p w14:paraId="7AF4B05E">
      <w:pPr>
        <w:pStyle w:val="4"/>
        <w:numPr>
          <w:ilvl w:val="0"/>
          <w:numId w:val="5"/>
        </w:numPr>
        <w:bidi w:val="0"/>
        <w:ind w:left="0" w:leftChars="0" w:firstLine="420" w:firstLineChars="0"/>
        <w:outlineLvl w:val="1"/>
        <w:rPr>
          <w:rFonts w:hint="default"/>
          <w:lang w:val="en-US" w:eastAsia="zh-CN"/>
        </w:rPr>
      </w:pPr>
      <w:bookmarkStart w:id="13" w:name="_Toc3625"/>
      <w:r>
        <w:rPr>
          <w:rFonts w:hint="default"/>
          <w:lang w:val="en-US" w:eastAsia="zh-CN"/>
        </w:rPr>
        <w:t>标准制订原则</w:t>
      </w:r>
      <w:bookmarkEnd w:id="13"/>
    </w:p>
    <w:p w14:paraId="4D10AB64">
      <w:pPr>
        <w:pStyle w:val="13"/>
        <w:numPr>
          <w:ilvl w:val="0"/>
          <w:numId w:val="6"/>
        </w:numPr>
        <w:bidi w:val="0"/>
        <w:spacing w:after="313" w:afterLines="100" w:afterAutospacing="0"/>
        <w:ind w:left="0" w:leftChars="0" w:firstLine="480" w:firstLineChars="200"/>
        <w:rPr>
          <w:rFonts w:hint="default"/>
          <w:lang w:val="en-US" w:eastAsia="zh-CN"/>
        </w:rPr>
      </w:pPr>
      <w:r>
        <w:rPr>
          <w:rFonts w:hint="default"/>
          <w:lang w:val="en-US" w:eastAsia="zh-CN"/>
        </w:rPr>
        <w:t>合法合规，因地制宜。编制总体原则需遵循国家及地方相关环保法律法规、行业标准，在坚持传统工艺的基础上，因地制宜采用现代治污技术，促进形成生态保护与行业发展协调推进的发展格局。</w:t>
      </w:r>
    </w:p>
    <w:p w14:paraId="76762D74">
      <w:pPr>
        <w:pStyle w:val="13"/>
        <w:numPr>
          <w:ilvl w:val="0"/>
          <w:numId w:val="6"/>
        </w:numPr>
        <w:bidi w:val="0"/>
        <w:spacing w:after="313" w:afterLines="100" w:afterAutospacing="0"/>
        <w:ind w:left="0" w:leftChars="0" w:firstLine="480" w:firstLineChars="200"/>
        <w:rPr>
          <w:rFonts w:hint="default"/>
          <w:lang w:val="en-US" w:eastAsia="zh-CN"/>
        </w:rPr>
      </w:pPr>
      <w:r>
        <w:rPr>
          <w:rFonts w:hint="default"/>
          <w:lang w:val="en-US" w:eastAsia="zh-CN"/>
        </w:rPr>
        <w:t>系统推进，分类治理。以流域环境质量现状和考虑酒企从原料储存及预处理、制曲、制酒、辅助生产系统到治污工程等工段全过程污染防治，提出废水、恶臭、扬尘飞灰、一般工业固体废物和噪声等多要素的防治规范。全面考虑集中连片区域、企业自建污染防治设施建设运行要求。</w:t>
      </w:r>
    </w:p>
    <w:p w14:paraId="1A0CC047">
      <w:pPr>
        <w:pStyle w:val="13"/>
        <w:numPr>
          <w:ilvl w:val="0"/>
          <w:numId w:val="6"/>
        </w:numPr>
        <w:bidi w:val="0"/>
        <w:spacing w:after="313" w:afterLines="100" w:afterAutospacing="0"/>
        <w:ind w:left="0" w:leftChars="0" w:firstLine="480" w:firstLineChars="200"/>
        <w:rPr>
          <w:rFonts w:hint="default"/>
          <w:lang w:val="en-US" w:eastAsia="zh-CN"/>
        </w:rPr>
      </w:pPr>
      <w:r>
        <w:rPr>
          <w:rFonts w:hint="default"/>
          <w:lang w:val="en-US" w:eastAsia="zh-CN"/>
        </w:rPr>
        <w:t>科学精准，务求实效。通过综合考虑现行污染防治规章制度和企业实际产生情况，研判吸纳先进技术手段及装置设备，务求对企业每一处设施设备做到精准规范、细致要求。制定科学合理的管理、监督及追责制度，保证企业污染防治工作有序进行。</w:t>
      </w:r>
    </w:p>
    <w:p w14:paraId="38907B75">
      <w:pPr>
        <w:pStyle w:val="3"/>
        <w:numPr>
          <w:ilvl w:val="0"/>
          <w:numId w:val="1"/>
        </w:numPr>
        <w:bidi w:val="0"/>
        <w:ind w:left="0" w:leftChars="0" w:firstLine="420" w:firstLineChars="0"/>
        <w:outlineLvl w:val="0"/>
        <w:rPr>
          <w:rFonts w:hint="default"/>
        </w:rPr>
      </w:pPr>
      <w:bookmarkStart w:id="14" w:name="_Toc17928"/>
      <w:r>
        <w:t>标准实施后对经济和社会发展的预期影响及论证</w:t>
      </w:r>
      <w:bookmarkEnd w:id="14"/>
    </w:p>
    <w:p w14:paraId="33E6ABAB">
      <w:pPr>
        <w:pStyle w:val="13"/>
        <w:bidi w:val="0"/>
        <w:rPr>
          <w:rFonts w:hint="default"/>
          <w:lang w:val="en-US" w:eastAsia="zh-CN"/>
        </w:rPr>
      </w:pPr>
      <w:r>
        <w:rPr>
          <w:rFonts w:hint="eastAsia"/>
          <w:lang w:val="en-US" w:eastAsia="zh-CN"/>
        </w:rPr>
        <w:t>本规范的实施首先带来的就是相关区域的</w:t>
      </w:r>
      <w:r>
        <w:rPr>
          <w:rFonts w:hint="default"/>
        </w:rPr>
        <w:t>生态环境改善</w:t>
      </w:r>
      <w:r>
        <w:rPr>
          <w:rFonts w:hint="eastAsia"/>
          <w:lang w:eastAsia="zh-CN"/>
        </w:rPr>
        <w:t>。</w:t>
      </w:r>
      <w:r>
        <w:rPr>
          <w:rFonts w:hint="default"/>
        </w:rPr>
        <w:t>规范实施后，白酒企业污染防治水平提升</w:t>
      </w:r>
      <w:r>
        <w:rPr>
          <w:rFonts w:hint="eastAsia"/>
          <w:lang w:eastAsia="zh-CN"/>
        </w:rPr>
        <w:t>，</w:t>
      </w:r>
      <w:r>
        <w:rPr>
          <w:rFonts w:hint="eastAsia"/>
          <w:lang w:val="en-US" w:eastAsia="zh-CN"/>
        </w:rPr>
        <w:t>向周围环境中排放的污染物将显著减少</w:t>
      </w:r>
      <w:r>
        <w:rPr>
          <w:rFonts w:hint="default"/>
        </w:rPr>
        <w:t>。仁怀市自2021年开展“四改”工作以来，完成“四改”提升并验收通过的白酒企业995家，改造后的白酒企业生产每吨白酒用水量减少20吨左右，冷却水循环率达80%以上5。同时，赤水河（仁怀段）水生态环境稳中向好，干流考核断面水质全部达到Ⅱ类，支流考核断面水质全部达到Ⅲ类，监测断面水质优良率达100%。</w:t>
      </w:r>
      <w:r>
        <w:rPr>
          <w:rFonts w:hint="eastAsia"/>
          <w:lang w:val="en-US" w:eastAsia="zh-CN"/>
        </w:rPr>
        <w:t>本规范的实施将在巩固现有治污工作的基础上，进一步提升白酒产业的环境保护技术和管理水平。</w:t>
      </w:r>
    </w:p>
    <w:p w14:paraId="40051038">
      <w:pPr>
        <w:pStyle w:val="13"/>
        <w:bidi w:val="0"/>
        <w:rPr>
          <w:rFonts w:hint="eastAsia"/>
          <w:lang w:eastAsia="zh-CN"/>
        </w:rPr>
      </w:pPr>
      <w:r>
        <w:rPr>
          <w:rFonts w:hint="eastAsia"/>
          <w:lang w:val="en-US" w:eastAsia="zh-CN"/>
        </w:rPr>
        <w:t>同时，</w:t>
      </w:r>
      <w:r>
        <w:rPr>
          <w:rFonts w:hint="default"/>
        </w:rPr>
        <w:t>该</w:t>
      </w:r>
      <w:r>
        <w:rPr>
          <w:rFonts w:hint="eastAsia"/>
          <w:lang w:val="en-US" w:eastAsia="zh-CN"/>
        </w:rPr>
        <w:t>规范</w:t>
      </w:r>
      <w:r>
        <w:rPr>
          <w:rFonts w:hint="default"/>
        </w:rPr>
        <w:t>的实施有助于提升贵州酱香型白酒产业的整体形象，增强消费者对贵州酱香型白酒的信任和认可。绿色、环保、可持续发展</w:t>
      </w:r>
      <w:r>
        <w:rPr>
          <w:rFonts w:hint="eastAsia"/>
          <w:lang w:eastAsia="zh-CN"/>
        </w:rPr>
        <w:t>的</w:t>
      </w:r>
      <w:r>
        <w:rPr>
          <w:rFonts w:hint="eastAsia"/>
          <w:lang w:val="en-US" w:eastAsia="zh-CN"/>
        </w:rPr>
        <w:t>良好企业形象</w:t>
      </w:r>
      <w:r>
        <w:rPr>
          <w:rFonts w:hint="default"/>
        </w:rPr>
        <w:t>，对于贵州酱香型白酒在国内外市场的竞争力具有积极的促进作用。酱香型白酒产业的规范发展</w:t>
      </w:r>
      <w:r>
        <w:rPr>
          <w:rFonts w:hint="eastAsia"/>
          <w:lang w:val="en-US" w:eastAsia="zh-CN"/>
        </w:rPr>
        <w:t>也将</w:t>
      </w:r>
      <w:r>
        <w:rPr>
          <w:rFonts w:hint="default"/>
        </w:rPr>
        <w:t>推动</w:t>
      </w:r>
      <w:r>
        <w:rPr>
          <w:rFonts w:hint="eastAsia"/>
          <w:lang w:val="en-US" w:eastAsia="zh-CN"/>
        </w:rPr>
        <w:t>相关的</w:t>
      </w:r>
      <w:r>
        <w:rPr>
          <w:rFonts w:hint="default"/>
        </w:rPr>
        <w:t>产业升级和相关配套产业的发展，创造更多的就业机会</w:t>
      </w:r>
      <w:r>
        <w:rPr>
          <w:rFonts w:hint="eastAsia"/>
          <w:lang w:eastAsia="zh-CN"/>
        </w:rPr>
        <w:t>。</w:t>
      </w:r>
    </w:p>
    <w:p w14:paraId="20D8D43D">
      <w:pPr>
        <w:pStyle w:val="13"/>
        <w:bidi w:val="0"/>
        <w:rPr>
          <w:rFonts w:hint="default"/>
        </w:rPr>
      </w:pPr>
      <w:r>
        <w:rPr>
          <w:rFonts w:hint="default"/>
        </w:rPr>
        <w:t>经济效益</w:t>
      </w:r>
      <w:r>
        <w:rPr>
          <w:rFonts w:hint="eastAsia"/>
          <w:lang w:val="en-US" w:eastAsia="zh-CN"/>
        </w:rPr>
        <w:t>方面</w:t>
      </w:r>
      <w:r>
        <w:rPr>
          <w:rFonts w:hint="eastAsia"/>
          <w:lang w:eastAsia="zh-CN"/>
        </w:rPr>
        <w:t>，</w:t>
      </w:r>
      <w:r>
        <w:rPr>
          <w:rFonts w:hint="default"/>
        </w:rPr>
        <w:t>通过实施污染防治规范，企业在资源利用效率方面得到提高。例如制酒车间冷却水的循环利用，既节约了水资源，又降低了生产成本。同时，规范生产流程和污染治理设施的建设，减少了因环境污染问题可能导致的罚款、整改等额外成本，使企业运营更加稳定和可持续。</w:t>
      </w:r>
      <w:r>
        <w:rPr>
          <w:rFonts w:hint="eastAsia"/>
          <w:lang w:val="en-US" w:eastAsia="zh-CN"/>
        </w:rPr>
        <w:t>本规范同时也</w:t>
      </w:r>
      <w:r>
        <w:rPr>
          <w:rFonts w:hint="default"/>
        </w:rPr>
        <w:t>促进了酱香型白酒产业的集聚发展，推动了产业园区的建设和完善。产业集聚有利于企业之间的资源共享、技术交流和协同创新，降低了企业的采购成本、物流成本等，提高了整个产业的经济效益。通过兼并重组等措施，将小散乱企业兼并重组成优强企业，年产能</w:t>
      </w:r>
      <w:r>
        <w:rPr>
          <w:rFonts w:hint="eastAsia"/>
          <w:lang w:val="en-US" w:eastAsia="zh-CN"/>
        </w:rPr>
        <w:t>大幅提升</w:t>
      </w:r>
      <w:r>
        <w:rPr>
          <w:rFonts w:hint="default"/>
        </w:rPr>
        <w:t>，实现了企业由多变少、由弱变强的综合治理目标，提升了产业的规模化和集约化水平。</w:t>
      </w:r>
    </w:p>
    <w:p w14:paraId="1C7704D1">
      <w:pPr>
        <w:pStyle w:val="3"/>
        <w:numPr>
          <w:ilvl w:val="0"/>
          <w:numId w:val="1"/>
        </w:numPr>
        <w:bidi w:val="0"/>
        <w:ind w:left="0" w:leftChars="0" w:firstLine="420" w:firstLineChars="0"/>
        <w:outlineLvl w:val="0"/>
      </w:pPr>
      <w:bookmarkStart w:id="15" w:name="_Toc10822"/>
      <w:r>
        <w:t>与国内政府主导制定标准的协调情况</w:t>
      </w:r>
      <w:bookmarkEnd w:id="15"/>
    </w:p>
    <w:p w14:paraId="3D7A9509">
      <w:pPr>
        <w:pStyle w:val="13"/>
        <w:bidi w:val="0"/>
        <w:rPr>
          <w:rFonts w:hint="default"/>
        </w:rPr>
      </w:pPr>
      <w:r>
        <w:rPr>
          <w:rFonts w:hint="default"/>
        </w:rPr>
        <w:t>规范将与《清洁生产标准白酒制造业》（HJ/T402-2007）等形成合力，淘汰落后生产工艺，提高企业经济效益和环境效益，推动清洁生产技术的应用推广，促进行业技术进步；提高清洁生产审核的环境效益，引导企业规范开展生产活动和环境保护活动。</w:t>
      </w:r>
    </w:p>
    <w:p w14:paraId="1C382B1E">
      <w:pPr>
        <w:pStyle w:val="13"/>
        <w:bidi w:val="0"/>
        <w:rPr>
          <w:rFonts w:hint="default"/>
        </w:rPr>
      </w:pPr>
      <w:r>
        <w:rPr>
          <w:rFonts w:hint="default"/>
        </w:rPr>
        <w:t>规范有望与《产业结构调整指导目录（2011年本）》等形成合力，进一步优化产业结构，对关停及合并一些无证和小作坊企业起到促进作用，间接地降低了市场上假酒及劣质酒的存在。</w:t>
      </w:r>
    </w:p>
    <w:p w14:paraId="40564590">
      <w:pPr>
        <w:pStyle w:val="13"/>
        <w:bidi w:val="0"/>
        <w:rPr>
          <w:rFonts w:hint="default"/>
        </w:rPr>
      </w:pPr>
      <w:r>
        <w:rPr>
          <w:rFonts w:hint="default"/>
        </w:rPr>
        <w:t>规范将与《发酵酒精和白酒工业水污染物排放标准》（GB27631-2011）形成合力，降低白酒行业污染物排放浓度及排放量，提高白酒企业环境管理水平，强化企业社会责任。</w:t>
      </w:r>
    </w:p>
    <w:p w14:paraId="309B9352">
      <w:pPr>
        <w:pStyle w:val="13"/>
        <w:bidi w:val="0"/>
        <w:rPr>
          <w:rFonts w:hint="default" w:eastAsia="宋体"/>
          <w:lang w:val="en-US" w:eastAsia="zh-CN"/>
        </w:rPr>
      </w:pPr>
      <w:r>
        <w:rPr>
          <w:rFonts w:hint="eastAsia"/>
          <w:lang w:val="en-US" w:eastAsia="zh-CN"/>
        </w:rPr>
        <w:t>规范与</w:t>
      </w:r>
      <w:r>
        <w:rPr>
          <w:rFonts w:hint="default"/>
        </w:rPr>
        <w:t>《白酒质量要求 第4部分：酱香型白酒》</w:t>
      </w:r>
      <w:r>
        <w:rPr>
          <w:rFonts w:hint="eastAsia"/>
          <w:lang w:eastAsia="zh-CN"/>
        </w:rPr>
        <w:t>（</w:t>
      </w:r>
      <w:r>
        <w:rPr>
          <w:rFonts w:hint="default"/>
        </w:rPr>
        <w:t>GB/T 10781.4</w:t>
      </w:r>
      <w:r>
        <w:rPr>
          <w:rFonts w:hint="eastAsia"/>
          <w:lang w:val="en-US" w:eastAsia="zh-CN"/>
        </w:rPr>
        <w:t>-2024</w:t>
      </w:r>
      <w:r>
        <w:rPr>
          <w:rFonts w:hint="eastAsia"/>
          <w:lang w:eastAsia="zh-CN"/>
        </w:rPr>
        <w:t>）在酱香型白酒产业发展中相互补充：</w:t>
      </w:r>
      <w:r>
        <w:rPr>
          <w:rFonts w:hint="eastAsia"/>
          <w:lang w:val="en-US" w:eastAsia="zh-CN"/>
        </w:rPr>
        <w:t>后者</w:t>
      </w:r>
      <w:r>
        <w:rPr>
          <w:rFonts w:ascii="Segoe UI" w:hAnsi="Segoe UI" w:eastAsia="Segoe UI" w:cs="Segoe UI"/>
          <w:i w:val="0"/>
          <w:iCs w:val="0"/>
          <w:caps w:val="0"/>
          <w:spacing w:val="0"/>
          <w:sz w:val="24"/>
          <w:szCs w:val="24"/>
          <w:shd w:val="clear" w:fill="F9FAFB"/>
        </w:rPr>
        <w:t>对生产过程控制提出要求，有助于规范生产操作，从源头上减少因不规范生产导致的污染产生</w:t>
      </w:r>
      <w:r>
        <w:rPr>
          <w:rFonts w:hint="eastAsia" w:ascii="Segoe UI" w:hAnsi="Segoe UI" w:eastAsia="宋体" w:cs="Segoe UI"/>
          <w:i w:val="0"/>
          <w:iCs w:val="0"/>
          <w:caps w:val="0"/>
          <w:spacing w:val="0"/>
          <w:sz w:val="24"/>
          <w:szCs w:val="24"/>
          <w:shd w:val="clear" w:fill="F9FAFB"/>
          <w:lang w:eastAsia="zh-CN"/>
        </w:rPr>
        <w:t>，</w:t>
      </w:r>
      <w:r>
        <w:rPr>
          <w:rFonts w:hint="eastAsia" w:ascii="Segoe UI" w:hAnsi="Segoe UI" w:eastAsia="宋体" w:cs="Segoe UI"/>
          <w:i w:val="0"/>
          <w:iCs w:val="0"/>
          <w:caps w:val="0"/>
          <w:spacing w:val="0"/>
          <w:sz w:val="24"/>
          <w:szCs w:val="24"/>
          <w:shd w:val="clear" w:fill="F9FAFB"/>
          <w:lang w:val="en-US" w:eastAsia="zh-CN"/>
        </w:rPr>
        <w:t>而本规范</w:t>
      </w:r>
      <w:r>
        <w:rPr>
          <w:rFonts w:ascii="Segoe UI" w:hAnsi="Segoe UI" w:eastAsia="Segoe UI" w:cs="Segoe UI"/>
          <w:i w:val="0"/>
          <w:iCs w:val="0"/>
          <w:caps w:val="0"/>
          <w:spacing w:val="0"/>
          <w:sz w:val="24"/>
          <w:szCs w:val="24"/>
          <w:shd w:val="clear" w:fill="F9FAFB"/>
        </w:rPr>
        <w:t>中的污染防治措施，能为白酒生产创造更稳定、清洁的环境，有利于提升白酒产品质量，保障</w:t>
      </w:r>
      <w:r>
        <w:rPr>
          <w:rFonts w:hint="eastAsia" w:ascii="Segoe UI" w:hAnsi="Segoe UI" w:eastAsia="宋体" w:cs="Segoe UI"/>
          <w:i w:val="0"/>
          <w:iCs w:val="0"/>
          <w:caps w:val="0"/>
          <w:spacing w:val="0"/>
          <w:sz w:val="24"/>
          <w:szCs w:val="24"/>
          <w:shd w:val="clear" w:fill="F9FAFB"/>
          <w:lang w:val="en-US" w:eastAsia="zh-CN"/>
        </w:rPr>
        <w:t>白酒</w:t>
      </w:r>
      <w:r>
        <w:rPr>
          <w:rFonts w:ascii="Segoe UI" w:hAnsi="Segoe UI" w:eastAsia="Segoe UI" w:cs="Segoe UI"/>
          <w:i w:val="0"/>
          <w:iCs w:val="0"/>
          <w:caps w:val="0"/>
          <w:spacing w:val="0"/>
          <w:sz w:val="24"/>
          <w:szCs w:val="24"/>
          <w:shd w:val="clear" w:fill="F9FAFB"/>
        </w:rPr>
        <w:t>质量要求的实现。</w:t>
      </w:r>
    </w:p>
    <w:p w14:paraId="1D007DE6">
      <w:pPr>
        <w:pStyle w:val="3"/>
        <w:numPr>
          <w:ilvl w:val="0"/>
          <w:numId w:val="1"/>
        </w:numPr>
        <w:bidi w:val="0"/>
        <w:ind w:left="0" w:leftChars="0" w:firstLine="420" w:firstLineChars="0"/>
        <w:outlineLvl w:val="0"/>
      </w:pPr>
      <w:bookmarkStart w:id="16" w:name="_Toc2218"/>
      <w:r>
        <w:t>与现行法律、法规、强制性标准的关系</w:t>
      </w:r>
      <w:bookmarkEnd w:id="16"/>
    </w:p>
    <w:p w14:paraId="00E8E304">
      <w:pPr>
        <w:pStyle w:val="13"/>
        <w:bidi w:val="0"/>
        <w:rPr>
          <w:rFonts w:hint="default"/>
        </w:rPr>
      </w:pPr>
      <w:r>
        <w:rPr>
          <w:rFonts w:hint="default"/>
        </w:rPr>
        <w:t>为防治环境污染，引导酱香型白酒企业选择最佳的生产工艺和污染防治技术路线和措施，促进酱香型白酒工业和污染防治技术的进步，促进酱香型白酒工业企业结构优化升级，依据白酒制造业相关的环保行政法规，制定本规范。本规范为地方生态环境保护</w:t>
      </w:r>
      <w:r>
        <w:rPr>
          <w:rFonts w:hint="eastAsia"/>
          <w:lang w:val="en-US" w:eastAsia="zh-CN"/>
        </w:rPr>
        <w:t>推荐性</w:t>
      </w:r>
      <w:r>
        <w:rPr>
          <w:rFonts w:hint="default"/>
        </w:rPr>
        <w:t>规范，制定的主要法律依据包括：</w:t>
      </w:r>
    </w:p>
    <w:p w14:paraId="045A9316">
      <w:pPr>
        <w:pStyle w:val="13"/>
        <w:numPr>
          <w:ilvl w:val="0"/>
          <w:numId w:val="7"/>
        </w:numPr>
        <w:bidi w:val="0"/>
        <w:spacing w:after="313" w:afterLines="100" w:afterAutospacing="0"/>
        <w:ind w:firstLine="480"/>
        <w:rPr>
          <w:rFonts w:hint="default"/>
        </w:rPr>
      </w:pPr>
      <w:r>
        <w:rPr>
          <w:rFonts w:hint="default"/>
        </w:rPr>
        <w:t>《中华人民共和国环境保护法》第十五条：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14:paraId="44C0AA9E">
      <w:pPr>
        <w:pStyle w:val="13"/>
        <w:numPr>
          <w:ilvl w:val="0"/>
          <w:numId w:val="7"/>
        </w:numPr>
        <w:bidi w:val="0"/>
        <w:spacing w:after="313" w:afterLines="100" w:afterAutospacing="0"/>
        <w:ind w:firstLine="480"/>
        <w:rPr>
          <w:rFonts w:hint="default"/>
        </w:rPr>
      </w:pPr>
      <w:r>
        <w:rPr>
          <w:rFonts w:hint="default"/>
        </w:rPr>
        <w:t>《中华人民共和国标准化法》第十条：保障人体健康，人身、财产安全的标准和法律、行政法规规定强制执行的标准是强制性标准，其他标准是推荐性标准。</w:t>
      </w:r>
    </w:p>
    <w:p w14:paraId="6C995CA1">
      <w:pPr>
        <w:pStyle w:val="13"/>
        <w:numPr>
          <w:ilvl w:val="0"/>
          <w:numId w:val="7"/>
        </w:numPr>
        <w:bidi w:val="0"/>
        <w:spacing w:after="313" w:afterLines="100" w:afterAutospacing="0"/>
        <w:ind w:firstLine="480"/>
        <w:rPr>
          <w:rFonts w:hint="default"/>
        </w:rPr>
      </w:pPr>
      <w:r>
        <w:rPr>
          <w:rFonts w:hint="default"/>
        </w:rPr>
        <w:t>《中华人民共和国水污染防治法》第十五条：国务院环境保护主管部门和省、自治区、直辖市人民政府，应当根据水污染防治的要求和国家或者地方的经济、技术条件，适时修订水环境质量标准和水污染物排放标准。</w:t>
      </w:r>
    </w:p>
    <w:p w14:paraId="54651124">
      <w:pPr>
        <w:pStyle w:val="13"/>
        <w:numPr>
          <w:ilvl w:val="0"/>
          <w:numId w:val="7"/>
        </w:numPr>
        <w:bidi w:val="0"/>
        <w:spacing w:after="313" w:afterLines="100" w:afterAutospacing="0"/>
        <w:ind w:firstLine="480"/>
        <w:rPr>
          <w:rFonts w:hint="default"/>
        </w:rPr>
      </w:pPr>
      <w:r>
        <w:rPr>
          <w:rFonts w:hint="default"/>
        </w:rPr>
        <w:t>《中华人民共和国长江保护法》第四十七条</w:t>
      </w:r>
      <w:r>
        <w:rPr>
          <w:rFonts w:hint="eastAsia"/>
          <w:lang w:eastAsia="zh-CN"/>
        </w:rPr>
        <w:t>：</w:t>
      </w:r>
      <w:r>
        <w:rPr>
          <w:rFonts w:hint="default"/>
        </w:rPr>
        <w:t>长江流域县级以上地方人民政府应统筹城乡污水集中处理设施及配套管网建设，排查整治排污口，规范新设、改设或扩大排污口的审批。</w:t>
      </w:r>
    </w:p>
    <w:p w14:paraId="51CB55C5">
      <w:pPr>
        <w:pStyle w:val="13"/>
        <w:numPr>
          <w:ilvl w:val="0"/>
          <w:numId w:val="7"/>
        </w:numPr>
        <w:bidi w:val="0"/>
        <w:spacing w:after="313" w:afterLines="100" w:afterAutospacing="0"/>
        <w:ind w:firstLine="480"/>
        <w:rPr>
          <w:rFonts w:hint="default"/>
        </w:rPr>
      </w:pPr>
      <w:r>
        <w:rPr>
          <w:rFonts w:hint="default"/>
        </w:rPr>
        <w:t>《贵州省赤水河流域酱香型白酒生产环境保护条例》</w:t>
      </w:r>
      <w:r>
        <w:rPr>
          <w:rFonts w:hint="eastAsia"/>
          <w:lang w:eastAsia="zh-CN"/>
        </w:rPr>
        <w:t>：</w:t>
      </w:r>
      <w:r>
        <w:rPr>
          <w:rFonts w:hint="default"/>
        </w:rPr>
        <w:t>明确要求赤水河流域县级以上人民政府统筹组织开展产区内酱香型白酒生产企业的污染整治，督促企业建设完善配套废水收集处理设施。</w:t>
      </w:r>
    </w:p>
    <w:p w14:paraId="133589F9">
      <w:pPr>
        <w:pStyle w:val="13"/>
        <w:numPr>
          <w:ilvl w:val="0"/>
          <w:numId w:val="7"/>
        </w:numPr>
        <w:bidi w:val="0"/>
        <w:spacing w:after="313" w:afterLines="100" w:afterAutospacing="0"/>
        <w:ind w:firstLine="480"/>
        <w:rPr>
          <w:rFonts w:hint="default"/>
        </w:rPr>
      </w:pPr>
      <w:r>
        <w:rPr>
          <w:rFonts w:hint="default"/>
        </w:rPr>
        <w:t>《发酵酒精和白酒工业水污染物排放标准》</w:t>
      </w:r>
      <w:r>
        <w:rPr>
          <w:rFonts w:hint="eastAsia"/>
          <w:lang w:eastAsia="zh-CN"/>
        </w:rPr>
        <w:t>：</w:t>
      </w:r>
      <w:r>
        <w:rPr>
          <w:rFonts w:hint="default"/>
        </w:rPr>
        <w:t>对白酒工业水污染物排放限值等作出明确规定，本规范在此基础上，针对酱香型白酒产业特点，进一步明确了污水深度处理设施工艺选择、排污口规范化管理等具体技术要求。</w:t>
      </w:r>
    </w:p>
    <w:p w14:paraId="3918437A">
      <w:pPr>
        <w:pStyle w:val="13"/>
        <w:bidi w:val="0"/>
        <w:rPr>
          <w:rFonts w:hint="default"/>
        </w:rPr>
      </w:pPr>
      <w:r>
        <w:rPr>
          <w:rFonts w:hint="default"/>
        </w:rPr>
        <w:t>本规范为地方</w:t>
      </w:r>
      <w:r>
        <w:rPr>
          <w:rFonts w:hint="eastAsia"/>
          <w:lang w:val="en-US" w:eastAsia="zh-CN"/>
        </w:rPr>
        <w:t>推荐性</w:t>
      </w:r>
      <w:r>
        <w:rPr>
          <w:rFonts w:hint="default"/>
        </w:rPr>
        <w:t>文件，主要包括源头及生产过程污染防控、大气污染防治、水污染防治、固体废物处理处置和综合利用、二次污染防治、鼓励研发的新技术等内容，可作为编制酱香型白酒行业污染防治规划、排放标准、污染物总量控制、排污许可、环境影响评价和最佳可行技术指南、工程技术规范等的依据，指导酱香型白酒行业污染防治技术的开发、推广和应用。</w:t>
      </w:r>
    </w:p>
    <w:p w14:paraId="5F91688E">
      <w:pPr>
        <w:pStyle w:val="13"/>
        <w:spacing w:beforeAutospacing="0" w:afterAutospacing="0" w:line="240" w:lineRule="atLeast"/>
        <w:ind w:firstLine="640"/>
        <w:rPr>
          <w:rFonts w:hint="default" w:ascii="楷体" w:hAnsi="楷体" w:eastAsia="楷体" w:cs="Times New Roman"/>
          <w:color w:val="000000"/>
          <w:sz w:val="21"/>
          <w:szCs w:val="21"/>
        </w:rPr>
      </w:pPr>
    </w:p>
    <w:p w14:paraId="6E090965">
      <w:pPr>
        <w:pStyle w:val="13"/>
        <w:bidi w:val="0"/>
      </w:pPr>
      <w:r>
        <w:t>参考文献</w:t>
      </w:r>
    </w:p>
    <w:p w14:paraId="3092CAFA">
      <w:pPr>
        <w:pStyle w:val="13"/>
        <w:bidi w:val="0"/>
        <w:rPr>
          <w:rFonts w:hint="eastAsia"/>
        </w:rPr>
      </w:pPr>
      <w:r>
        <w:rPr>
          <w:rFonts w:hint="eastAsia"/>
        </w:rPr>
        <w:t>《饮料酒制造业污染防治技术政策》（生态环境部，公告2018年第7号）</w:t>
      </w:r>
    </w:p>
    <w:p w14:paraId="5884A57E">
      <w:pPr>
        <w:pStyle w:val="13"/>
        <w:bidi w:val="0"/>
        <w:rPr>
          <w:rFonts w:hint="eastAsia"/>
        </w:rPr>
      </w:pPr>
      <w:r>
        <w:rPr>
          <w:rFonts w:hint="eastAsia"/>
        </w:rPr>
        <w:t>《贵州省赤水河流域酱香型白酒生产环境保护条例》（贵州省人民代表大会常务委员会，2022第30号）</w:t>
      </w:r>
    </w:p>
    <w:p w14:paraId="6122B10F">
      <w:pPr>
        <w:pStyle w:val="13"/>
        <w:bidi w:val="0"/>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F81B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140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F5D93">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DF5D93">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76413"/>
    <w:multiLevelType w:val="singleLevel"/>
    <w:tmpl w:val="95C76413"/>
    <w:lvl w:ilvl="0" w:tentative="0">
      <w:start w:val="1"/>
      <w:numFmt w:val="chineseCounting"/>
      <w:suff w:val="nothing"/>
      <w:lvlText w:val="（%1）"/>
      <w:lvlJc w:val="left"/>
      <w:pPr>
        <w:ind w:left="0" w:firstLine="420"/>
      </w:pPr>
      <w:rPr>
        <w:rFonts w:hint="eastAsia"/>
      </w:rPr>
    </w:lvl>
  </w:abstractNum>
  <w:abstractNum w:abstractNumId="1">
    <w:nsid w:val="A055E66E"/>
    <w:multiLevelType w:val="singleLevel"/>
    <w:tmpl w:val="A055E66E"/>
    <w:lvl w:ilvl="0" w:tentative="0">
      <w:start w:val="1"/>
      <w:numFmt w:val="decimal"/>
      <w:lvlText w:val="%1."/>
      <w:lvlJc w:val="left"/>
      <w:pPr>
        <w:ind w:left="425" w:hanging="425"/>
      </w:pPr>
      <w:rPr>
        <w:rFonts w:hint="default"/>
      </w:rPr>
    </w:lvl>
  </w:abstractNum>
  <w:abstractNum w:abstractNumId="2">
    <w:nsid w:val="A1C87D7F"/>
    <w:multiLevelType w:val="singleLevel"/>
    <w:tmpl w:val="A1C87D7F"/>
    <w:lvl w:ilvl="0" w:tentative="0">
      <w:start w:val="1"/>
      <w:numFmt w:val="chineseCounting"/>
      <w:suff w:val="nothing"/>
      <w:lvlText w:val="%1、"/>
      <w:lvlJc w:val="left"/>
      <w:pPr>
        <w:ind w:left="0" w:firstLine="420"/>
      </w:pPr>
      <w:rPr>
        <w:rFonts w:hint="eastAsia"/>
      </w:rPr>
    </w:lvl>
  </w:abstractNum>
  <w:abstractNum w:abstractNumId="3">
    <w:nsid w:val="A72E78C2"/>
    <w:multiLevelType w:val="singleLevel"/>
    <w:tmpl w:val="A72E78C2"/>
    <w:lvl w:ilvl="0" w:tentative="0">
      <w:start w:val="1"/>
      <w:numFmt w:val="decimal"/>
      <w:suff w:val="nothing"/>
      <w:lvlText w:val="%1．"/>
      <w:lvlJc w:val="left"/>
      <w:pPr>
        <w:ind w:left="0" w:firstLine="400"/>
      </w:pPr>
      <w:rPr>
        <w:rFonts w:hint="default"/>
      </w:rPr>
    </w:lvl>
  </w:abstractNum>
  <w:abstractNum w:abstractNumId="4">
    <w:nsid w:val="FE63C446"/>
    <w:multiLevelType w:val="singleLevel"/>
    <w:tmpl w:val="FE63C446"/>
    <w:lvl w:ilvl="0" w:tentative="0">
      <w:start w:val="1"/>
      <w:numFmt w:val="decimal"/>
      <w:suff w:val="nothing"/>
      <w:lvlText w:val="%1．"/>
      <w:lvlJc w:val="left"/>
      <w:pPr>
        <w:ind w:left="0" w:firstLine="400"/>
      </w:pPr>
      <w:rPr>
        <w:rFonts w:hint="default"/>
      </w:rPr>
    </w:lvl>
  </w:abstractNum>
  <w:abstractNum w:abstractNumId="5">
    <w:nsid w:val="6AC12037"/>
    <w:multiLevelType w:val="singleLevel"/>
    <w:tmpl w:val="6AC12037"/>
    <w:lvl w:ilvl="0" w:tentative="0">
      <w:start w:val="1"/>
      <w:numFmt w:val="lowerLetter"/>
      <w:lvlText w:val="%1)"/>
      <w:lvlJc w:val="left"/>
      <w:pPr>
        <w:tabs>
          <w:tab w:val="left" w:pos="420"/>
        </w:tabs>
        <w:ind w:left="425" w:leftChars="0" w:hanging="425" w:firstLineChars="0"/>
      </w:pPr>
      <w:rPr>
        <w:rFonts w:hint="default"/>
      </w:rPr>
    </w:lvl>
  </w:abstractNum>
  <w:abstractNum w:abstractNumId="6">
    <w:nsid w:val="732008D2"/>
    <w:multiLevelType w:val="singleLevel"/>
    <w:tmpl w:val="732008D2"/>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329DA"/>
    <w:rsid w:val="1D9021C1"/>
    <w:rsid w:val="25F70A64"/>
    <w:rsid w:val="2BDD3AFD"/>
    <w:rsid w:val="32B73DE7"/>
    <w:rsid w:val="369B1A3C"/>
    <w:rsid w:val="47297084"/>
    <w:rsid w:val="4D0329DA"/>
    <w:rsid w:val="550C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140" w:beforeLines="0" w:beforeAutospacing="0" w:after="140" w:afterLines="0" w:afterAutospacing="0" w:line="240" w:lineRule="auto"/>
      <w:outlineLvl w:val="2"/>
    </w:pPr>
    <w:rPr>
      <w:b/>
      <w:sz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annotation text"/>
    <w:basedOn w:val="1"/>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link w:val="21"/>
    <w:qFormat/>
    <w:uiPriority w:val="0"/>
  </w:style>
  <w:style w:type="paragraph" w:styleId="12">
    <w:name w:val="toc 2"/>
    <w:basedOn w:val="1"/>
    <w:next w:val="1"/>
    <w:link w:val="20"/>
    <w:qFormat/>
    <w:uiPriority w:val="0"/>
    <w:pPr>
      <w:ind w:left="420" w:leftChars="200"/>
    </w:pPr>
  </w:style>
  <w:style w:type="paragraph" w:styleId="13">
    <w:name w:val="Normal (Web)"/>
    <w:basedOn w:val="1"/>
    <w:unhideWhenUsed/>
    <w:qFormat/>
    <w:uiPriority w:val="99"/>
    <w:pPr>
      <w:widowControl/>
      <w:spacing w:beforeAutospacing="1" w:afterAutospacing="1"/>
      <w:ind w:firstLine="562" w:firstLineChars="200"/>
      <w:jc w:val="left"/>
    </w:pPr>
    <w:rPr>
      <w:rFonts w:hint="eastAsia" w:ascii="宋体" w:hAnsi="宋体"/>
      <w:kern w:val="0"/>
      <w:sz w:val="24"/>
    </w:rPr>
  </w:style>
  <w:style w:type="table" w:styleId="15">
    <w:name w:val="Table Grid"/>
    <w:basedOn w:val="1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Heading2"/>
    <w:basedOn w:val="1"/>
    <w:next w:val="1"/>
    <w:autoRedefine/>
    <w:qFormat/>
    <w:uiPriority w:val="0"/>
    <w:pPr>
      <w:keepNext/>
      <w:keepLines/>
      <w:spacing w:before="260" w:after="260" w:line="415" w:lineRule="auto"/>
      <w:jc w:val="both"/>
      <w:textAlignment w:val="baseline"/>
    </w:pPr>
    <w:rPr>
      <w:rFonts w:ascii="Cambria" w:hAnsi="Cambria" w:eastAsia="宋体" w:cs="Times New Roman"/>
      <w:b/>
      <w:bCs/>
      <w:kern w:val="2"/>
      <w:sz w:val="32"/>
      <w:szCs w:val="32"/>
      <w:lang w:val="en-US" w:eastAsia="zh-CN" w:bidi="ar-SA"/>
    </w:rPr>
  </w:style>
  <w:style w:type="character" w:customStyle="1" w:styleId="19">
    <w:name w:val="标题 1 Char"/>
    <w:link w:val="2"/>
    <w:uiPriority w:val="0"/>
    <w:rPr>
      <w:b/>
      <w:kern w:val="44"/>
      <w:sz w:val="44"/>
    </w:rPr>
  </w:style>
  <w:style w:type="character" w:customStyle="1" w:styleId="20">
    <w:name w:val="目录 2 Char"/>
    <w:link w:val="12"/>
    <w:uiPriority w:val="0"/>
  </w:style>
  <w:style w:type="character" w:customStyle="1" w:styleId="21">
    <w:name w:val="目录 1 Char"/>
    <w:link w:val="1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8504</Words>
  <Characters>8883</Characters>
  <Lines>0</Lines>
  <Paragraphs>0</Paragraphs>
  <TotalTime>1</TotalTime>
  <ScaleCrop>false</ScaleCrop>
  <LinksUpToDate>false</LinksUpToDate>
  <CharactersWithSpaces>8942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2025-03-21T02:45:00Z</dcterms:created>
  <dc:creator>安</dc:creator>
  <cp:lastModifiedBy>何以笙萧默</cp:lastModifiedBy>
  <dcterms:modified xsi:type="dcterms:W3CDTF">2025-10-22T02:36:46Z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E150FB978A044DADBD0472FBFAC2F13A_11</vt:lpwstr>
  </property>
  <property fmtid="{D5CDD505-2E9C-101B-9397-08002B2CF9AE}" pid="4" name="KSOTemplateDocerSaveRecord">
    <vt:lpwstr>eyJoZGlkIjoiZTVjMGMyZDIyYmEyYWNlOTUwMTA0ODYyZjNhZmVjMTUiLCJ1c2VySWQiOiIyNzUzNzg5NjAifQ==</vt:lpwstr>
  </property>
</Properties>
</file>