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after="0" w:line="560" w:lineRule="exact"/>
        <w:jc w:val="left"/>
        <w:textAlignment w:val="auto"/>
        <w:rPr>
          <w:rFonts w:hint="eastAsia" w:ascii="黑体" w:hAnsi="黑体" w:eastAsia="黑体" w:cs="黑体"/>
          <w:sz w:val="32"/>
          <w:szCs w:val="24"/>
          <w:lang w:eastAsia="zh-CN"/>
        </w:rPr>
      </w:pPr>
      <w:r>
        <w:rPr>
          <w:rFonts w:hint="eastAsia" w:ascii="黑体" w:hAnsi="黑体" w:eastAsia="黑体" w:cs="黑体"/>
          <w:sz w:val="32"/>
          <w:szCs w:val="24"/>
          <w:lang w:eastAsia="zh-CN"/>
        </w:rPr>
        <w:t>附件</w:t>
      </w:r>
    </w:p>
    <w:p>
      <w:pPr>
        <w:keepNext w:val="0"/>
        <w:keepLines w:val="0"/>
        <w:pageBreakBefore w:val="0"/>
        <w:widowControl/>
        <w:kinsoku/>
        <w:wordWrap/>
        <w:overflowPunct/>
        <w:topLinePunct w:val="0"/>
        <w:bidi w:val="0"/>
        <w:snapToGrid/>
        <w:spacing w:after="0" w:line="560" w:lineRule="exact"/>
        <w:jc w:val="center"/>
        <w:textAlignment w:val="auto"/>
        <w:rPr>
          <w:rFonts w:hint="eastAsia" w:ascii="黑体" w:hAnsi="黑体" w:eastAsia="黑体" w:cs="黑体"/>
          <w:sz w:val="40"/>
          <w:szCs w:val="32"/>
        </w:rPr>
      </w:pPr>
    </w:p>
    <w:p>
      <w:pPr>
        <w:keepNext w:val="0"/>
        <w:keepLines w:val="0"/>
        <w:pageBreakBefore w:val="0"/>
        <w:widowControl/>
        <w:kinsoku/>
        <w:wordWrap/>
        <w:overflowPunct/>
        <w:topLinePunct w:val="0"/>
        <w:bidi w:val="0"/>
        <w:snapToGrid/>
        <w:spacing w:after="0" w:line="560" w:lineRule="exact"/>
        <w:jc w:val="center"/>
        <w:textAlignment w:val="auto"/>
        <w:rPr>
          <w:rFonts w:ascii="黑体" w:hAnsi="黑体" w:eastAsia="黑体" w:cs="黑体"/>
          <w:sz w:val="44"/>
          <w:szCs w:val="36"/>
        </w:rPr>
      </w:pPr>
      <w:r>
        <w:rPr>
          <w:rFonts w:hint="eastAsia" w:ascii="黑体" w:hAnsi="黑体" w:eastAsia="黑体" w:cs="黑体"/>
          <w:sz w:val="44"/>
          <w:szCs w:val="36"/>
        </w:rPr>
        <w:t>《贵州省生态环境损害赔偿管理条例（草案）》</w:t>
      </w:r>
    </w:p>
    <w:p>
      <w:pPr>
        <w:keepNext w:val="0"/>
        <w:keepLines w:val="0"/>
        <w:pageBreakBefore w:val="0"/>
        <w:widowControl/>
        <w:kinsoku/>
        <w:wordWrap/>
        <w:overflowPunct/>
        <w:topLinePunct w:val="0"/>
        <w:bidi w:val="0"/>
        <w:snapToGrid/>
        <w:spacing w:after="0" w:line="560" w:lineRule="exact"/>
        <w:jc w:val="center"/>
        <w:textAlignment w:val="auto"/>
        <w:rPr>
          <w:rFonts w:hint="eastAsia" w:ascii="永中楷体" w:hAnsi="永中楷体" w:eastAsia="永中楷体" w:cs="永中楷体"/>
          <w:sz w:val="32"/>
          <w:szCs w:val="24"/>
        </w:rPr>
      </w:pPr>
      <w:r>
        <w:rPr>
          <w:rFonts w:hint="eastAsia" w:ascii="永中楷体" w:hAnsi="永中楷体" w:eastAsia="永中楷体" w:cs="永中楷体"/>
          <w:sz w:val="32"/>
          <w:szCs w:val="24"/>
        </w:rPr>
        <w:t>（初稿）</w:t>
      </w:r>
    </w:p>
    <w:p>
      <w:pPr>
        <w:keepNext w:val="0"/>
        <w:keepLines w:val="0"/>
        <w:pageBreakBefore w:val="0"/>
        <w:widowControl/>
        <w:kinsoku/>
        <w:wordWrap/>
        <w:overflowPunct/>
        <w:topLinePunct w:val="0"/>
        <w:bidi w:val="0"/>
        <w:snapToGrid/>
        <w:spacing w:after="0" w:line="560" w:lineRule="exact"/>
        <w:jc w:val="both"/>
        <w:textAlignment w:val="auto"/>
        <w:rPr>
          <w:sz w:val="32"/>
          <w:szCs w:val="28"/>
        </w:rPr>
      </w:pPr>
    </w:p>
    <w:p>
      <w:pPr>
        <w:keepNext w:val="0"/>
        <w:keepLines w:val="0"/>
        <w:pageBreakBefore w:val="0"/>
        <w:widowControl/>
        <w:kinsoku/>
        <w:wordWrap/>
        <w:overflowPunct/>
        <w:topLinePunct w:val="0"/>
        <w:bidi w:val="0"/>
        <w:snapToGrid/>
        <w:spacing w:after="0" w:line="560" w:lineRule="exact"/>
        <w:jc w:val="both"/>
        <w:textAlignment w:val="auto"/>
        <w:rPr>
          <w:sz w:val="32"/>
          <w:szCs w:val="28"/>
        </w:rPr>
      </w:pPr>
    </w:p>
    <w:p>
      <w:pPr>
        <w:keepNext w:val="0"/>
        <w:keepLines w:val="0"/>
        <w:pageBreakBefore w:val="0"/>
        <w:widowControl/>
        <w:kinsoku/>
        <w:wordWrap/>
        <w:overflowPunct/>
        <w:topLinePunct w:val="0"/>
        <w:bidi w:val="0"/>
        <w:snapToGrid/>
        <w:spacing w:after="0" w:line="560" w:lineRule="exact"/>
        <w:ind w:firstLine="2976" w:firstLineChars="930"/>
        <w:jc w:val="both"/>
        <w:textAlignment w:val="auto"/>
        <w:rPr>
          <w:rFonts w:ascii="黑体" w:hAnsi="黑体" w:eastAsia="黑体"/>
          <w:sz w:val="32"/>
          <w:szCs w:val="28"/>
        </w:rPr>
      </w:pPr>
      <w:r>
        <w:rPr>
          <w:rFonts w:ascii="黑体" w:hAnsi="黑体" w:eastAsia="黑体"/>
          <w:sz w:val="32"/>
          <w:szCs w:val="28"/>
        </w:rPr>
        <w:t>第一章 总则</w:t>
      </w:r>
    </w:p>
    <w:p>
      <w:pPr>
        <w:keepNext w:val="0"/>
        <w:keepLines w:val="0"/>
        <w:pageBreakBefore w:val="0"/>
        <w:widowControl/>
        <w:kinsoku/>
        <w:wordWrap/>
        <w:overflowPunct/>
        <w:topLinePunct w:val="0"/>
        <w:bidi w:val="0"/>
        <w:snapToGrid/>
        <w:spacing w:after="0" w:line="560" w:lineRule="exact"/>
        <w:ind w:firstLine="2976" w:firstLineChars="930"/>
        <w:jc w:val="both"/>
        <w:textAlignment w:val="auto"/>
        <w:rPr>
          <w:rFonts w:hint="eastAsia" w:ascii="黑体" w:hAnsi="黑体" w:eastAsia="黑体"/>
          <w:sz w:val="32"/>
          <w:szCs w:val="28"/>
          <w:lang w:eastAsia="zh-CN"/>
        </w:rPr>
      </w:pPr>
      <w:r>
        <w:rPr>
          <w:rFonts w:hint="eastAsia" w:ascii="黑体" w:hAnsi="黑体" w:eastAsia="黑体"/>
          <w:sz w:val="32"/>
          <w:szCs w:val="28"/>
        </w:rPr>
        <w:t>第二章</w:t>
      </w:r>
      <w:r>
        <w:rPr>
          <w:rFonts w:hint="eastAsia" w:ascii="黑体" w:hAnsi="黑体" w:eastAsia="黑体"/>
          <w:sz w:val="32"/>
          <w:szCs w:val="28"/>
          <w:lang w:val="en-US" w:eastAsia="zh-CN"/>
        </w:rPr>
        <w:t xml:space="preserve"> </w:t>
      </w:r>
      <w:r>
        <w:rPr>
          <w:rFonts w:hint="eastAsia" w:ascii="黑体" w:hAnsi="黑体" w:eastAsia="黑体"/>
          <w:sz w:val="32"/>
          <w:szCs w:val="28"/>
          <w:lang w:eastAsia="zh-CN"/>
        </w:rPr>
        <w:t>损害调查</w:t>
      </w:r>
    </w:p>
    <w:p>
      <w:pPr>
        <w:keepNext w:val="0"/>
        <w:keepLines w:val="0"/>
        <w:pageBreakBefore w:val="0"/>
        <w:widowControl/>
        <w:kinsoku/>
        <w:wordWrap/>
        <w:overflowPunct/>
        <w:topLinePunct w:val="0"/>
        <w:bidi w:val="0"/>
        <w:snapToGrid/>
        <w:spacing w:after="0" w:line="560" w:lineRule="exact"/>
        <w:ind w:firstLine="2976" w:firstLineChars="930"/>
        <w:jc w:val="both"/>
        <w:textAlignment w:val="auto"/>
        <w:rPr>
          <w:rFonts w:hint="eastAsia" w:ascii="黑体" w:hAnsi="黑体" w:eastAsia="黑体"/>
          <w:sz w:val="32"/>
          <w:szCs w:val="28"/>
          <w:lang w:eastAsia="zh-CN"/>
        </w:rPr>
      </w:pPr>
      <w:r>
        <w:rPr>
          <w:rFonts w:ascii="黑体" w:hAnsi="黑体" w:eastAsia="黑体"/>
          <w:sz w:val="32"/>
          <w:szCs w:val="28"/>
        </w:rPr>
        <w:t>第</w:t>
      </w:r>
      <w:r>
        <w:rPr>
          <w:rFonts w:hint="eastAsia" w:ascii="黑体" w:hAnsi="黑体" w:eastAsia="黑体"/>
          <w:sz w:val="32"/>
          <w:szCs w:val="28"/>
        </w:rPr>
        <w:t>三</w:t>
      </w:r>
      <w:r>
        <w:rPr>
          <w:rFonts w:ascii="黑体" w:hAnsi="黑体" w:eastAsia="黑体"/>
          <w:sz w:val="32"/>
          <w:szCs w:val="28"/>
        </w:rPr>
        <w:t xml:space="preserve">章 </w:t>
      </w:r>
      <w:r>
        <w:rPr>
          <w:rFonts w:hint="eastAsia" w:ascii="黑体" w:hAnsi="黑体" w:eastAsia="黑体"/>
          <w:sz w:val="32"/>
          <w:szCs w:val="28"/>
          <w:lang w:eastAsia="zh-CN"/>
        </w:rPr>
        <w:t>启动索赔</w:t>
      </w:r>
    </w:p>
    <w:p>
      <w:pPr>
        <w:keepNext w:val="0"/>
        <w:keepLines w:val="0"/>
        <w:pageBreakBefore w:val="0"/>
        <w:widowControl/>
        <w:kinsoku/>
        <w:wordWrap/>
        <w:overflowPunct/>
        <w:topLinePunct w:val="0"/>
        <w:bidi w:val="0"/>
        <w:snapToGrid/>
        <w:spacing w:after="0" w:line="560" w:lineRule="exact"/>
        <w:ind w:firstLine="2976" w:firstLineChars="930"/>
        <w:jc w:val="both"/>
        <w:textAlignment w:val="auto"/>
        <w:rPr>
          <w:rFonts w:hint="eastAsia" w:ascii="黑体" w:hAnsi="黑体" w:eastAsia="黑体"/>
          <w:sz w:val="32"/>
          <w:szCs w:val="28"/>
          <w:lang w:eastAsia="zh-CN"/>
        </w:rPr>
      </w:pPr>
      <w:r>
        <w:rPr>
          <w:rFonts w:ascii="黑体" w:hAnsi="黑体" w:eastAsia="黑体"/>
          <w:sz w:val="32"/>
          <w:szCs w:val="28"/>
        </w:rPr>
        <w:t>第</w:t>
      </w:r>
      <w:r>
        <w:rPr>
          <w:rFonts w:hint="eastAsia" w:ascii="黑体" w:hAnsi="黑体" w:eastAsia="黑体"/>
          <w:sz w:val="32"/>
          <w:szCs w:val="28"/>
        </w:rPr>
        <w:t>四</w:t>
      </w:r>
      <w:r>
        <w:rPr>
          <w:rFonts w:ascii="黑体" w:hAnsi="黑体" w:eastAsia="黑体"/>
          <w:sz w:val="32"/>
          <w:szCs w:val="28"/>
        </w:rPr>
        <w:t xml:space="preserve">章 </w:t>
      </w:r>
      <w:r>
        <w:rPr>
          <w:rFonts w:hint="eastAsia" w:ascii="黑体" w:hAnsi="黑体" w:eastAsia="黑体"/>
          <w:sz w:val="32"/>
          <w:szCs w:val="28"/>
        </w:rPr>
        <w:t>修复</w:t>
      </w:r>
      <w:r>
        <w:rPr>
          <w:rFonts w:hint="eastAsia" w:ascii="黑体" w:hAnsi="黑体" w:eastAsia="黑体"/>
          <w:sz w:val="32"/>
          <w:szCs w:val="28"/>
          <w:lang w:eastAsia="zh-CN"/>
        </w:rPr>
        <w:t>赔偿</w:t>
      </w:r>
    </w:p>
    <w:p>
      <w:pPr>
        <w:keepNext w:val="0"/>
        <w:keepLines w:val="0"/>
        <w:pageBreakBefore w:val="0"/>
        <w:widowControl/>
        <w:kinsoku/>
        <w:wordWrap/>
        <w:overflowPunct/>
        <w:topLinePunct w:val="0"/>
        <w:bidi w:val="0"/>
        <w:snapToGrid/>
        <w:spacing w:after="0" w:line="560" w:lineRule="exact"/>
        <w:ind w:firstLine="2976" w:firstLineChars="930"/>
        <w:jc w:val="both"/>
        <w:textAlignment w:val="auto"/>
        <w:rPr>
          <w:rFonts w:ascii="黑体" w:hAnsi="黑体" w:eastAsia="黑体"/>
          <w:sz w:val="32"/>
          <w:szCs w:val="28"/>
        </w:rPr>
      </w:pPr>
      <w:r>
        <w:rPr>
          <w:rFonts w:hint="eastAsia" w:ascii="黑体" w:hAnsi="黑体" w:eastAsia="黑体"/>
          <w:sz w:val="32"/>
          <w:szCs w:val="28"/>
        </w:rPr>
        <w:t>第五章 保障监督</w:t>
      </w:r>
    </w:p>
    <w:p>
      <w:pPr>
        <w:keepNext w:val="0"/>
        <w:keepLines w:val="0"/>
        <w:pageBreakBefore w:val="0"/>
        <w:widowControl/>
        <w:kinsoku/>
        <w:wordWrap/>
        <w:overflowPunct/>
        <w:topLinePunct w:val="0"/>
        <w:bidi w:val="0"/>
        <w:snapToGrid/>
        <w:spacing w:after="0" w:line="560" w:lineRule="exact"/>
        <w:ind w:firstLine="2976" w:firstLineChars="930"/>
        <w:jc w:val="both"/>
        <w:textAlignment w:val="auto"/>
        <w:rPr>
          <w:rFonts w:ascii="黑体" w:hAnsi="黑体" w:eastAsia="黑体"/>
          <w:sz w:val="32"/>
          <w:szCs w:val="28"/>
        </w:rPr>
      </w:pPr>
      <w:r>
        <w:rPr>
          <w:rFonts w:ascii="黑体" w:hAnsi="黑体" w:eastAsia="黑体"/>
          <w:sz w:val="32"/>
          <w:szCs w:val="28"/>
        </w:rPr>
        <w:t>第</w:t>
      </w:r>
      <w:r>
        <w:rPr>
          <w:rFonts w:hint="eastAsia" w:ascii="黑体" w:hAnsi="黑体" w:eastAsia="黑体"/>
          <w:sz w:val="32"/>
          <w:szCs w:val="28"/>
        </w:rPr>
        <w:t>六</w:t>
      </w:r>
      <w:r>
        <w:rPr>
          <w:rFonts w:ascii="黑体" w:hAnsi="黑体" w:eastAsia="黑体"/>
          <w:sz w:val="32"/>
          <w:szCs w:val="28"/>
        </w:rPr>
        <w:t>章 附则</w:t>
      </w:r>
    </w:p>
    <w:p>
      <w:pPr>
        <w:keepNext w:val="0"/>
        <w:keepLines w:val="0"/>
        <w:pageBreakBefore w:val="0"/>
        <w:widowControl/>
        <w:kinsoku/>
        <w:wordWrap/>
        <w:overflowPunct/>
        <w:topLinePunct w:val="0"/>
        <w:bidi w:val="0"/>
        <w:snapToGrid/>
        <w:spacing w:line="560" w:lineRule="exact"/>
        <w:jc w:val="both"/>
        <w:textAlignment w:val="auto"/>
      </w:pPr>
      <w:r>
        <w:br w:type="page"/>
      </w:r>
    </w:p>
    <w:p>
      <w:pPr>
        <w:pStyle w:val="2"/>
        <w:keepNext w:val="0"/>
        <w:keepLines w:val="0"/>
        <w:pageBreakBefore w:val="0"/>
        <w:widowControl/>
        <w:kinsoku/>
        <w:wordWrap/>
        <w:overflowPunct/>
        <w:topLinePunct w:val="0"/>
        <w:bidi w:val="0"/>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3"/>
        <w:keepNext w:val="0"/>
        <w:keepLines w:val="0"/>
        <w:pageBreakBefore w:val="0"/>
        <w:widowControl/>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2"/>
          <w:szCs w:val="32"/>
        </w:rPr>
      </w:pP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第一条【立法目的及依据】</w:t>
      </w:r>
      <w:r>
        <w:rPr>
          <w:rFonts w:hint="eastAsia" w:ascii="仿宋_GB2312" w:hAnsi="仿宋_GB2312" w:eastAsia="仿宋_GB2312" w:cs="仿宋_GB2312"/>
          <w:color w:val="auto"/>
          <w:sz w:val="32"/>
          <w:szCs w:val="32"/>
        </w:rPr>
        <w:t>为推进贵州省生态文明建设先行区</w:t>
      </w:r>
      <w:r>
        <w:rPr>
          <w:rFonts w:hint="eastAsia" w:ascii="仿宋_GB2312" w:hAnsi="仿宋_GB2312" w:eastAsia="仿宋_GB2312" w:cs="仿宋_GB2312"/>
          <w:color w:val="auto"/>
          <w:sz w:val="32"/>
          <w:szCs w:val="32"/>
          <w:lang w:eastAsia="zh-CN"/>
        </w:rPr>
        <w:t>，保护生态环境。</w:t>
      </w:r>
      <w:r>
        <w:rPr>
          <w:rFonts w:hint="eastAsia" w:ascii="仿宋_GB2312" w:hAnsi="仿宋_GB2312" w:eastAsia="仿宋_GB2312" w:cs="仿宋_GB2312"/>
          <w:color w:val="auto"/>
          <w:sz w:val="32"/>
          <w:szCs w:val="32"/>
        </w:rPr>
        <w:t>根据《中华人民共和国民法典》《中华人民共和国环境保护法》《中华人民共和国长江保护法》等有关法律、法规的规定，结合本省实际，制定本条例。</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第二条【立法原则】</w:t>
      </w:r>
      <w:r>
        <w:rPr>
          <w:rFonts w:hint="eastAsia" w:ascii="仿宋_GB2312" w:hAnsi="仿宋_GB2312" w:eastAsia="仿宋_GB2312" w:cs="仿宋_GB2312"/>
          <w:color w:val="auto"/>
          <w:sz w:val="32"/>
          <w:szCs w:val="32"/>
        </w:rPr>
        <w:t>本条例以习近平生态文明思想为指导，生态环境损害赔偿应当坚持环境有价、损害担责、修复优先、主动磋商、公众参与的原则。</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第三条【适用范围】</w:t>
      </w:r>
      <w:r>
        <w:rPr>
          <w:rFonts w:hint="eastAsia" w:ascii="仿宋_GB2312" w:hAnsi="仿宋_GB2312" w:eastAsia="仿宋_GB2312" w:cs="仿宋_GB2312"/>
          <w:color w:val="auto"/>
          <w:sz w:val="32"/>
          <w:szCs w:val="32"/>
        </w:rPr>
        <w:t>本条例适用于本省行政区域内生态环境损害赔偿案件的线索筛查、调查与鉴定评估、磋商、修复赔偿、公众参与、衔接保障等工作。</w:t>
      </w:r>
    </w:p>
    <w:p>
      <w:pPr>
        <w:pStyle w:val="3"/>
        <w:keepNext w:val="0"/>
        <w:keepLines w:val="0"/>
        <w:pageBreakBefore w:val="0"/>
        <w:widowControl/>
        <w:tabs>
          <w:tab w:val="left" w:pos="2694"/>
        </w:tabs>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第四条【赔偿权利人】</w:t>
      </w:r>
      <w:r>
        <w:rPr>
          <w:rFonts w:hint="eastAsia" w:ascii="仿宋_GB2312" w:hAnsi="仿宋_GB2312" w:eastAsia="仿宋_GB2312" w:cs="仿宋_GB2312"/>
          <w:color w:val="auto"/>
          <w:sz w:val="32"/>
          <w:szCs w:val="32"/>
        </w:rPr>
        <w:t>省人民政府和各市（州）人民政府是本行政区域内生态环境损害赔偿权利人，省和各市（州）人民政府指定生态环境、自然资源、林业、住房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城乡建设、水利、农业农村等相关生态环境保护职能部门和机构，具体负责各自职责范围内的生态环境损害赔偿工作。</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第五条【管辖规则】</w:t>
      </w:r>
      <w:r>
        <w:rPr>
          <w:rFonts w:hint="eastAsia" w:ascii="仿宋_GB2312" w:hAnsi="仿宋_GB2312" w:eastAsia="仿宋_GB2312" w:cs="仿宋_GB2312"/>
          <w:color w:val="auto"/>
          <w:sz w:val="32"/>
          <w:szCs w:val="32"/>
        </w:rPr>
        <w:t>省人民政府管辖以下生态环境损害赔偿案件：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（一）在全国有重大影响或者跨省域的案件；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（二）本省范围内跨市（州）的案件；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（三）本省范围内重大、复杂的案件。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省人民政府认为确有必要的，可以办理市（州）人民政府管辖的生态环境损害赔偿案件或者指定市（州）人民政府管辖特定的生态环境损害赔偿案件。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各市（州）人民政府管辖除省人民政府管辖之外的本辖区内生态环境损害赔偿案件。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生态环境损害赔偿案件涉及两个以上部门的，由先发现的部门或机构报同级人民政府确定办理部门。</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第六条【赔偿义务人】</w:t>
      </w:r>
      <w:r>
        <w:rPr>
          <w:rFonts w:hint="eastAsia" w:ascii="仿宋_GB2312" w:hAnsi="仿宋_GB2312" w:eastAsia="仿宋_GB2312" w:cs="仿宋_GB2312"/>
          <w:color w:val="auto"/>
          <w:sz w:val="32"/>
          <w:szCs w:val="32"/>
        </w:rPr>
        <w:t>本条例所称赔偿义务人是指违反国家规定造成生态环境损害的自然人、法人或非法人组织。</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赔偿义务人应当依法积极配合生态环境损害赔偿调查、鉴定评估等工作，参与索赔磋商，实施修复，全面及时履行赔偿义务。</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第七条【赔偿范围】</w:t>
      </w:r>
      <w:r>
        <w:rPr>
          <w:rFonts w:hint="eastAsia" w:ascii="仿宋_GB2312" w:hAnsi="仿宋_GB2312" w:eastAsia="仿宋_GB2312" w:cs="仿宋_GB2312"/>
          <w:color w:val="auto"/>
          <w:sz w:val="32"/>
          <w:szCs w:val="32"/>
        </w:rPr>
        <w:t>生态环境损害的赔偿范围包括：</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（一）生态环境受到损害至修复完成期间服务功能丧失导致的损失；</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（二）生态环境功能永久性损害造成的损失；</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（三）生态环境损害调查、鉴定评估等费用；</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（四）清除污染、修复生态环境费用；</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（五）防止损害的发生和扩大所支出的合理费用。</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第八条【考核督察】</w:t>
      </w:r>
      <w:r>
        <w:rPr>
          <w:rFonts w:hint="eastAsia" w:ascii="仿宋_GB2312" w:hAnsi="仿宋_GB2312" w:eastAsia="仿宋_GB2312" w:cs="仿宋_GB2312"/>
          <w:color w:val="auto"/>
          <w:sz w:val="32"/>
          <w:szCs w:val="32"/>
        </w:rPr>
        <w:t>省、市（州）人民政府应当加强对本地区生态环境损害赔偿工作的组织领导，建立年度汇报工作机制，实行重大案件督办，定期调度工作进展，督促推进全省生态环境损害赔偿工作。</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全省各地生态环境损害赔偿工作纳入贵州省污染防治攻坚战成效、环境治理专项评价和领导干部政绩等考核。</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bidi w:val="0"/>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sz w:val="32"/>
          <w:szCs w:val="28"/>
          <w:lang w:eastAsia="zh-CN"/>
        </w:rPr>
        <w:t>损害调查</w:t>
      </w:r>
    </w:p>
    <w:p>
      <w:pPr>
        <w:pStyle w:val="3"/>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sz w:val="32"/>
          <w:szCs w:val="32"/>
        </w:rPr>
      </w:pP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第九条【线索筛查】</w:t>
      </w:r>
      <w:r>
        <w:rPr>
          <w:rFonts w:hint="eastAsia" w:ascii="仿宋_GB2312" w:hAnsi="仿宋_GB2312" w:eastAsia="仿宋_GB2312" w:cs="仿宋_GB2312"/>
          <w:color w:val="auto"/>
          <w:sz w:val="32"/>
          <w:szCs w:val="32"/>
        </w:rPr>
        <w:t>赔偿权利人及其指定的部门或机构应当定期组织筛查生态环境损害赔偿案件线索，发现有下列情形之一的，应当开展案件调查：</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（一）中央和省级生态环境保护督察发现需要开展生态环境损害赔偿工作的；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（二）突发生态环境事件；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（三）发生生态环境损害的资源与环境行政处罚案件；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（四）涉嫌构成破坏环境资源保护犯罪的案件；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lang w:eastAsia="zh-CN"/>
        </w:rPr>
        <w:t>在</w:t>
      </w:r>
      <w:r>
        <w:rPr>
          <w:rFonts w:hint="eastAsia" w:ascii="仿宋_GB2312" w:hAnsi="仿宋_GB2312" w:eastAsia="仿宋_GB2312" w:cs="仿宋_GB2312"/>
          <w:color w:val="auto"/>
          <w:sz w:val="32"/>
          <w:szCs w:val="32"/>
          <w:lang w:eastAsia="zh-CN"/>
        </w:rPr>
        <w:t>生态保护红线等禁止开发区域、国家和省级</w:t>
      </w:r>
      <w:r>
        <w:rPr>
          <w:rFonts w:hint="eastAsia" w:ascii="仿宋_GB2312" w:hAnsi="仿宋_GB2312" w:eastAsia="仿宋_GB2312" w:cs="仿宋_GB2312"/>
          <w:color w:val="auto"/>
          <w:sz w:val="32"/>
          <w:szCs w:val="32"/>
        </w:rPr>
        <w:t>国土空间规划中确定的重点生态功能区发生的环境污染、生态破坏事件；</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日常监管、</w:t>
      </w:r>
      <w:r>
        <w:rPr>
          <w:rFonts w:hint="eastAsia" w:ascii="仿宋_GB2312" w:hAnsi="仿宋_GB2312" w:eastAsia="仿宋_GB2312" w:cs="仿宋_GB2312"/>
          <w:color w:val="auto"/>
          <w:sz w:val="32"/>
          <w:szCs w:val="32"/>
        </w:rPr>
        <w:t>各项资源与环境专项行动、执法巡查发现的案件线索；</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（七）信访投诉、举报和媒体曝光涉及的案件线索；</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（八）上级机关交办的案件线索；</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（九）检察机关移送的案件线索；</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（十）赔偿权利人确定的其他线索。</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第十条【调查启动】</w:t>
      </w:r>
      <w:r>
        <w:rPr>
          <w:rFonts w:hint="eastAsia" w:ascii="仿宋_GB2312" w:hAnsi="仿宋_GB2312" w:eastAsia="仿宋_GB2312" w:cs="仿宋_GB2312"/>
          <w:color w:val="auto"/>
          <w:sz w:val="32"/>
          <w:szCs w:val="32"/>
        </w:rPr>
        <w:t>发现或接到案件线索通报的赔偿权利人及其指定的部门或机构，应当在三十日内完成生态环境损害事实的初步核查；对于已造成生态环境损害的案件，</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立即启动索赔调查程序。</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有生态环境保护职能的部门在查处生态环境违法案件、处置突发环境事件等履职过程中，以及接到或受理信访投诉、举报案件时，对涉及生态环境损害的，应当在立案阶段依照本条例同步启动生态环境损害索赔调查工作。</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第十一条【调查内容】</w:t>
      </w:r>
      <w:r>
        <w:rPr>
          <w:rFonts w:hint="eastAsia" w:ascii="仿宋_GB2312" w:hAnsi="仿宋_GB2312" w:eastAsia="仿宋_GB2312" w:cs="仿宋_GB2312"/>
          <w:color w:val="auto"/>
          <w:sz w:val="32"/>
          <w:szCs w:val="32"/>
        </w:rPr>
        <w:t>赔偿权利人及其指定的部门或机构启动索赔调查程序后，应当及时调查以下内容：</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（一）生态环境损害行为人的基本情况，包括企业登记信息、经营状况，自然人相关信息，环境保护措施以及环境违法情况等；</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（二）生态环境损害行为人的行为与生态环境损害事实的关联关系，包括发生的时间、地点、起因、经过等；</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（三）生态环境损害行为造成的影响范围和损害程度；</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（四）其他涉及生态环境损害的内容。</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第十二条【调查方式】</w:t>
      </w:r>
      <w:r>
        <w:rPr>
          <w:rFonts w:hint="eastAsia" w:ascii="仿宋_GB2312" w:hAnsi="仿宋_GB2312" w:eastAsia="仿宋_GB2312" w:cs="仿宋_GB2312"/>
          <w:color w:val="auto"/>
          <w:sz w:val="32"/>
          <w:szCs w:val="32"/>
        </w:rPr>
        <w:t>生态环境损害索赔调查可以通过收集现有资料、现场踏勘、座谈走访等方式开展。调查过程中赔偿权利人及其指定的部门或机构可以根据需要邀请案发地基层人民政府有关人员、专家、社会组织、检察机关工作人员等协助参与调查。</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生态环境损害事件涉及多个部门或机构的，可由赔偿权利人组建联合调查组。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第十三条【调查期限及结果】</w:t>
      </w:r>
      <w:r>
        <w:rPr>
          <w:rFonts w:hint="eastAsia" w:ascii="仿宋_GB2312" w:hAnsi="仿宋_GB2312" w:eastAsia="仿宋_GB2312" w:cs="仿宋_GB2312"/>
          <w:color w:val="auto"/>
          <w:sz w:val="32"/>
          <w:szCs w:val="32"/>
        </w:rPr>
        <w:t>生态环境损害赔偿案件的索赔调查应当自程序启动之日起二个月内完成。必要时经承办单位主要领导同意可以延长三十日。</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赔偿权利人及其指定的部门或机构应当在索赔调查结束后形成调查结论，并提出启动后续索赔程序或者终止索赔程序的意见。</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第十四条【索赔情形】</w:t>
      </w:r>
      <w:r>
        <w:rPr>
          <w:rFonts w:hint="eastAsia" w:ascii="仿宋_GB2312" w:hAnsi="仿宋_GB2312" w:eastAsia="仿宋_GB2312" w:cs="仿宋_GB2312"/>
          <w:color w:val="auto"/>
          <w:sz w:val="32"/>
          <w:szCs w:val="32"/>
        </w:rPr>
        <w:t>经核查，符合以下情形的，赔偿权利人及其指定的部门或机构应当开展索赔工作：</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（一）有生态环境损害的事实； </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（二）损害行为与事实有关联关系；</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（三）赔偿义务人明确。</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第十五条【不启动索赔情形】</w:t>
      </w:r>
      <w:r>
        <w:rPr>
          <w:rFonts w:hint="eastAsia" w:ascii="仿宋_GB2312" w:hAnsi="仿宋_GB2312" w:eastAsia="仿宋_GB2312" w:cs="仿宋_GB2312"/>
          <w:color w:val="auto"/>
          <w:sz w:val="32"/>
          <w:szCs w:val="32"/>
        </w:rPr>
        <w:t>赔偿权利人及其指定的部门或机构在办理案件过程中，发现存在以下情形之一的，可以作出不启动索赔程序或终止索赔程序的决定：</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（一）赔偿义务人已经履行全部赔偿义务的；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（二）人民法院已就同一生态环境损害形成生效裁判文书，赔偿权利人的索赔请求已被得到支持的诉讼请求所全部涵盖的；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（三）环境污染或者生态破坏行为造成的生态环境损害显著轻微，且不需要赔偿的；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（四）承担赔偿义务的法人终止、非法人组织解散或者自然人死亡，且无财产可供执行的；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（五）赔偿义务人依法持证排污且符合国家规定的；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（六）其他可以不启动索赔程序的情形。</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第十六条【鉴定评估资质】</w:t>
      </w:r>
      <w:r>
        <w:rPr>
          <w:rFonts w:hint="eastAsia" w:ascii="仿宋_GB2312" w:hAnsi="仿宋_GB2312" w:eastAsia="仿宋_GB2312" w:cs="仿宋_GB2312"/>
          <w:color w:val="auto"/>
          <w:sz w:val="32"/>
          <w:szCs w:val="32"/>
        </w:rPr>
        <w:t>生态环境损害鉴定评估机构原则上应为取得环境损害司法鉴定资质的机构或者国务院相关主管部门推荐的机构。上述鉴定评估机构业务范围无法满足鉴定评估需要的，可由其他具有相关行业鉴定评估能力的机构开展。</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鉴定评估机构应当指定具有相应资质的鉴定评估人员进行鉴定、评估</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鉴定机构和专家应当对其出具的鉴定意见、鉴定评估报告、专家意见等结论负责。</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第十七条【机构鉴定评估】</w:t>
      </w:r>
      <w:r>
        <w:rPr>
          <w:rFonts w:hint="eastAsia" w:ascii="仿宋_GB2312" w:hAnsi="仿宋_GB2312" w:eastAsia="仿宋_GB2312" w:cs="仿宋_GB2312"/>
          <w:color w:val="auto"/>
          <w:sz w:val="32"/>
          <w:szCs w:val="32"/>
        </w:rPr>
        <w:t>在生态环境损害赔偿案件索赔调查过程中，赔偿权利人及其指定的部门或机构和赔偿义务人可以共同委托具备鉴定评估资质的机构出具鉴定意见书或者鉴定评估报告。赔偿权利人及其指定的部门或机构单独委托开展鉴定评估时，</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邀请赔偿义务人参与。</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鉴定评估的期限不计入索赔调查期限。</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第十八条【鉴定要求】</w:t>
      </w:r>
      <w:r>
        <w:rPr>
          <w:rFonts w:hint="eastAsia" w:ascii="仿宋_GB2312" w:hAnsi="仿宋_GB2312" w:eastAsia="仿宋_GB2312" w:cs="仿宋_GB2312"/>
          <w:color w:val="auto"/>
          <w:sz w:val="32"/>
          <w:szCs w:val="32"/>
        </w:rPr>
        <w:t>鉴定评估机构应当</w:t>
      </w:r>
      <w:r>
        <w:rPr>
          <w:rFonts w:hint="eastAsia" w:ascii="仿宋_GB2312" w:hAnsi="仿宋_GB2312" w:eastAsia="仿宋_GB2312" w:cs="仿宋_GB2312"/>
          <w:color w:val="auto"/>
          <w:sz w:val="32"/>
          <w:szCs w:val="32"/>
          <w:lang w:eastAsia="zh-CN"/>
        </w:rPr>
        <w:t>严格按照鉴定评估规范开展</w:t>
      </w:r>
      <w:r>
        <w:rPr>
          <w:rFonts w:hint="eastAsia" w:ascii="仿宋_GB2312" w:hAnsi="仿宋_GB2312" w:eastAsia="仿宋_GB2312" w:cs="仿宋_GB2312"/>
          <w:color w:val="auto"/>
          <w:sz w:val="32"/>
          <w:szCs w:val="32"/>
        </w:rPr>
        <w:t>现场调查、采集检材或样本</w:t>
      </w:r>
      <w:r>
        <w:rPr>
          <w:rFonts w:hint="eastAsia" w:ascii="仿宋_GB2312" w:hAnsi="仿宋_GB2312" w:eastAsia="仿宋_GB2312" w:cs="仿宋_GB2312"/>
          <w:color w:val="auto"/>
          <w:sz w:val="32"/>
          <w:szCs w:val="32"/>
          <w:lang w:eastAsia="zh-CN"/>
        </w:rPr>
        <w:t>、测试分析、科学实验等鉴定评估工作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作出</w:t>
      </w:r>
      <w:r>
        <w:rPr>
          <w:rFonts w:hint="eastAsia" w:ascii="仿宋_GB2312" w:hAnsi="仿宋_GB2312" w:eastAsia="仿宋_GB2312" w:cs="仿宋_GB2312"/>
          <w:color w:val="auto"/>
          <w:sz w:val="32"/>
          <w:szCs w:val="32"/>
        </w:rPr>
        <w:t>鉴定意见书或者鉴定评估报告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并对调查、采集活动</w:t>
      </w:r>
      <w:r>
        <w:rPr>
          <w:rFonts w:hint="eastAsia" w:ascii="仿宋_GB2312" w:hAnsi="仿宋_GB2312" w:eastAsia="仿宋_GB2312" w:cs="仿宋_GB2312"/>
          <w:color w:val="auto"/>
          <w:sz w:val="32"/>
          <w:szCs w:val="32"/>
          <w:lang w:eastAsia="zh-CN"/>
        </w:rPr>
        <w:t>以及鉴定评估结论</w:t>
      </w:r>
      <w:r>
        <w:rPr>
          <w:rFonts w:hint="eastAsia" w:ascii="仿宋_GB2312" w:hAnsi="仿宋_GB2312" w:eastAsia="仿宋_GB2312" w:cs="仿宋_GB2312"/>
          <w:color w:val="auto"/>
          <w:sz w:val="32"/>
          <w:szCs w:val="32"/>
        </w:rPr>
        <w:t>的科学性、合法性负责。</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第十九条【简易程序</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对于损害量化金额估算在五十万元以下的案件，赔偿义务人对损害责任认定无争议的案件，可以采用简易程序办理，委托三人以上单数组成的专家组评估并出具专家意见。</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前款涉及的损害量化金额可以根据专家出具的意见进行确定。</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第二十条【能力建设】</w:t>
      </w: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lang w:eastAsia="zh-CN"/>
        </w:rPr>
        <w:t>省内高等院校</w:t>
      </w:r>
      <w:r>
        <w:rPr>
          <w:rFonts w:hint="eastAsia" w:ascii="仿宋_GB2312" w:hAnsi="仿宋_GB2312" w:eastAsia="仿宋_GB2312" w:cs="仿宋_GB2312"/>
          <w:color w:val="auto"/>
          <w:sz w:val="32"/>
          <w:szCs w:val="32"/>
        </w:rPr>
        <w:t>、科研院所、高新技术</w:t>
      </w:r>
      <w:r>
        <w:rPr>
          <w:rFonts w:hint="eastAsia" w:ascii="仿宋_GB2312" w:hAnsi="仿宋_GB2312" w:eastAsia="仿宋_GB2312" w:cs="仿宋_GB2312"/>
          <w:color w:val="auto"/>
          <w:sz w:val="32"/>
          <w:szCs w:val="32"/>
          <w:lang w:eastAsia="zh-CN"/>
        </w:rPr>
        <w:t>企业开展涉及生态环境损害的科学研究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支持其申报</w:t>
      </w:r>
      <w:r>
        <w:rPr>
          <w:rFonts w:hint="eastAsia" w:ascii="仿宋_GB2312" w:hAnsi="仿宋_GB2312" w:eastAsia="仿宋_GB2312" w:cs="仿宋_GB2312"/>
          <w:color w:val="auto"/>
          <w:sz w:val="32"/>
          <w:szCs w:val="32"/>
        </w:rPr>
        <w:t>生态环境损害司法鉴定</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资</w:t>
      </w:r>
      <w:r>
        <w:rPr>
          <w:rFonts w:hint="eastAsia" w:ascii="仿宋_GB2312" w:hAnsi="仿宋_GB2312" w:eastAsia="仿宋_GB2312" w:cs="仿宋_GB2312"/>
          <w:color w:val="auto"/>
          <w:sz w:val="32"/>
          <w:szCs w:val="32"/>
          <w:lang w:eastAsia="zh-CN"/>
        </w:rPr>
        <w:t>质</w:t>
      </w:r>
      <w:r>
        <w:rPr>
          <w:rFonts w:hint="eastAsia" w:ascii="仿宋_GB2312" w:hAnsi="仿宋_GB2312" w:eastAsia="仿宋_GB2312" w:cs="仿宋_GB2312"/>
          <w:color w:val="auto"/>
          <w:sz w:val="32"/>
          <w:szCs w:val="32"/>
        </w:rPr>
        <w:t>。</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bidi w:val="0"/>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sz w:val="32"/>
          <w:szCs w:val="28"/>
          <w:lang w:eastAsia="zh-CN"/>
        </w:rPr>
        <w:t>启动索赔</w:t>
      </w:r>
    </w:p>
    <w:p>
      <w:pPr>
        <w:pStyle w:val="3"/>
        <w:keepNext w:val="0"/>
        <w:keepLines w:val="0"/>
        <w:pageBreakBefore w:val="0"/>
        <w:widowControl/>
        <w:kinsoku/>
        <w:wordWrap/>
        <w:overflowPunct/>
        <w:topLinePunct w:val="0"/>
        <w:bidi w:val="0"/>
        <w:snapToGrid/>
        <w:spacing w:line="560" w:lineRule="exact"/>
        <w:textAlignment w:val="auto"/>
        <w:rPr>
          <w:rFonts w:hint="eastAsia" w:ascii="仿宋_GB2312" w:hAnsi="仿宋_GB2312" w:eastAsia="仿宋_GB2312" w:cs="仿宋_GB2312"/>
          <w:b/>
          <w:bCs/>
          <w:color w:val="auto"/>
          <w:sz w:val="32"/>
          <w:szCs w:val="32"/>
        </w:rPr>
      </w:pP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第二十一条【磋商前置】</w:t>
      </w:r>
      <w:r>
        <w:rPr>
          <w:rFonts w:hint="eastAsia" w:ascii="仿宋_GB2312" w:hAnsi="仿宋_GB2312" w:eastAsia="仿宋_GB2312" w:cs="仿宋_GB2312"/>
          <w:color w:val="auto"/>
          <w:sz w:val="32"/>
          <w:szCs w:val="32"/>
        </w:rPr>
        <w:t>赔偿权利人及其指定的部门或机构</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rPr>
        <w:t>出索赔的决定后，应当与赔偿义务人展开磋商。</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第二十二条【磋商主体】</w:t>
      </w:r>
      <w:r>
        <w:rPr>
          <w:rFonts w:hint="eastAsia" w:ascii="仿宋_GB2312" w:hAnsi="仿宋_GB2312" w:eastAsia="仿宋_GB2312" w:cs="仿宋_GB2312"/>
          <w:color w:val="auto"/>
          <w:sz w:val="32"/>
          <w:szCs w:val="32"/>
        </w:rPr>
        <w:t>磋商的主体包括赔偿权利人及其指定的部门或机构、赔偿义务人、第三人和受邀参与人。</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赔偿权利人及其指定的部门或机构可以商请检察机关、相关管理部门、专家和相关组织等参与磋商会议。</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赔偿权利人及其指定的部门或机构与赔偿义务人除自行开展磋商外，也可以共同委托符合要求的第三方独立调解组织围绕生态环境损害赔偿事项进行调解。</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第二十三条【磋商方式与内容】</w:t>
      </w:r>
      <w:r>
        <w:rPr>
          <w:rFonts w:hint="eastAsia" w:ascii="仿宋_GB2312" w:hAnsi="仿宋_GB2312" w:eastAsia="仿宋_GB2312" w:cs="仿宋_GB2312"/>
          <w:color w:val="auto"/>
          <w:sz w:val="32"/>
          <w:szCs w:val="32"/>
        </w:rPr>
        <w:t>赔偿权利人及其指定的部门或机构与赔偿义务人应当依据鉴定意见、鉴定评估报告或者专家意见开展磋商，并在充分考虑可行性、成本效益、社会影响等因素的基础上明确修复方案、赔偿责任承担方式和期限等具体问题。</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赔偿权利人及其指定的部门或机构与赔偿义务人经磋商达成一致的，应当签订生态环境损害赔偿磋商协议。</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第二十四条【简易磋商】</w:t>
      </w:r>
      <w:r>
        <w:rPr>
          <w:rFonts w:hint="eastAsia" w:ascii="仿宋_GB2312" w:hAnsi="仿宋_GB2312" w:eastAsia="仿宋_GB2312" w:cs="仿宋_GB2312"/>
          <w:color w:val="auto"/>
          <w:sz w:val="32"/>
          <w:szCs w:val="32"/>
        </w:rPr>
        <w:t>赔偿权利人及其指定的部门或机构和赔偿义务人对生态环境损害事实、调查结论和损害鉴定等无争议的，磋商程序可相应简化，直接针对</w:t>
      </w:r>
      <w:bookmarkStart w:id="0" w:name="_GoBack"/>
      <w:bookmarkEnd w:id="0"/>
      <w:r>
        <w:rPr>
          <w:rFonts w:hint="eastAsia" w:ascii="仿宋_GB2312" w:hAnsi="仿宋_GB2312" w:eastAsia="仿宋_GB2312" w:cs="仿宋_GB2312"/>
          <w:color w:val="auto"/>
          <w:sz w:val="32"/>
          <w:szCs w:val="32"/>
        </w:rPr>
        <w:t>争议问题进行磋商或者签订磋商协议。</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第二十五条【磋商期限】</w:t>
      </w:r>
      <w:r>
        <w:rPr>
          <w:rFonts w:hint="eastAsia" w:ascii="仿宋_GB2312" w:hAnsi="仿宋_GB2312" w:eastAsia="仿宋_GB2312" w:cs="仿宋_GB2312"/>
          <w:color w:val="auto"/>
          <w:sz w:val="32"/>
          <w:szCs w:val="32"/>
        </w:rPr>
        <w:t>磋商次数原则上不超过三次。首次磋商未达成共识的，可以再次组织磋商，再次磋商的时间间隔一般不超过十个工作日。</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适用简易评估认定程序的案件，磋商期限原则上不超过七个工作日。</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第二十六条【司法确认】</w:t>
      </w:r>
      <w:r>
        <w:rPr>
          <w:rFonts w:hint="eastAsia" w:ascii="仿宋_GB2312" w:hAnsi="仿宋_GB2312" w:eastAsia="仿宋_GB2312" w:cs="仿宋_GB2312"/>
          <w:color w:val="auto"/>
          <w:sz w:val="32"/>
          <w:szCs w:val="32"/>
        </w:rPr>
        <w:t>赔偿权利人与赔偿义务人达成赔偿合意并签订赔偿协议后，可以依法共同向具有管辖权的法院申请司法确认。</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经司法确认的磋商协议，赔偿义务人不履行或不完全履行的，检察机关应督促、支持赔偿权利人及时申请人民法院强制执行。</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第二十七条【公众参与】</w:t>
      </w:r>
      <w:r>
        <w:rPr>
          <w:rFonts w:hint="eastAsia" w:ascii="仿宋_GB2312" w:hAnsi="仿宋_GB2312" w:eastAsia="仿宋_GB2312" w:cs="仿宋_GB2312"/>
          <w:color w:val="auto"/>
          <w:sz w:val="32"/>
          <w:szCs w:val="32"/>
        </w:rPr>
        <w:t>为鼓励公众参与和拓宽参与渠道，赔偿权利人及其指定的部门或机构应在磋商前五个工作日向社会公告磋商的基本案由、申请参与的方式、磋商日期与地点、联系人及电话。</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第二十八条【司法途径】</w:t>
      </w:r>
      <w:r>
        <w:rPr>
          <w:rFonts w:hint="eastAsia" w:ascii="仿宋_GB2312" w:hAnsi="仿宋_GB2312" w:eastAsia="仿宋_GB2312" w:cs="仿宋_GB2312"/>
          <w:color w:val="auto"/>
          <w:sz w:val="32"/>
          <w:szCs w:val="32"/>
        </w:rPr>
        <w:t>经磋商未能达成赔偿协议的或赔偿义务人拒不履行赔偿协议的，赔偿权利人及其指定的部门或机构可以依法提起生态环境损害赔偿诉讼。</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第二十九条【惩罚性赔偿】</w:t>
      </w:r>
      <w:r>
        <w:rPr>
          <w:rFonts w:hint="eastAsia" w:ascii="仿宋_GB2312" w:hAnsi="仿宋_GB2312" w:eastAsia="仿宋_GB2312" w:cs="仿宋_GB2312"/>
          <w:color w:val="auto"/>
          <w:sz w:val="32"/>
          <w:szCs w:val="32"/>
        </w:rPr>
        <w:t>赔偿义务人污染环境、破坏生态，造成严重后果的，赔偿权利人及其指定的部门或机构在提起生态环境损害赔偿诉讼时可以依法向人民法院请求相应的惩罚性赔偿。</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bidi w:val="0"/>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sz w:val="32"/>
          <w:szCs w:val="28"/>
        </w:rPr>
        <w:t>修复</w:t>
      </w:r>
      <w:r>
        <w:rPr>
          <w:rFonts w:hint="eastAsia" w:ascii="黑体" w:hAnsi="黑体" w:eastAsia="黑体"/>
          <w:sz w:val="32"/>
          <w:szCs w:val="28"/>
          <w:lang w:eastAsia="zh-CN"/>
        </w:rPr>
        <w:t>赔偿</w:t>
      </w:r>
    </w:p>
    <w:p>
      <w:pPr>
        <w:pStyle w:val="3"/>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sz w:val="32"/>
          <w:szCs w:val="32"/>
        </w:rPr>
      </w:pP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第三十条【修复原则与标准】</w:t>
      </w:r>
      <w:r>
        <w:rPr>
          <w:rFonts w:hint="eastAsia" w:ascii="仿宋_GB2312" w:hAnsi="仿宋_GB2312" w:eastAsia="仿宋_GB2312" w:cs="仿宋_GB2312"/>
          <w:color w:val="auto"/>
          <w:sz w:val="32"/>
          <w:szCs w:val="32"/>
        </w:rPr>
        <w:t>生态环境损害修复应体现环境资源生态功能价值和顺应自然规律，目的是将生态环境修复至受损前的基线水平或者生态环境风险可接受水平；修复效果后评估应遵循客观公正、科学合理、全过程监督的原则。</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第三十一条【先行修复】</w:t>
      </w:r>
      <w:r>
        <w:rPr>
          <w:rFonts w:hint="eastAsia" w:ascii="仿宋_GB2312" w:hAnsi="仿宋_GB2312" w:eastAsia="仿宋_GB2312" w:cs="仿宋_GB2312"/>
          <w:color w:val="auto"/>
          <w:sz w:val="32"/>
          <w:szCs w:val="32"/>
        </w:rPr>
        <w:t>赔偿义务人在磋商未达成一致前主动要求开展生态环境修复的，赔偿权利人及其指定的部门或机构在书面确认损害事实后，可以同意其开展修复工作，并参照本条例执行过程监督和结果监督。</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第三十二条【修复方式】</w:t>
      </w:r>
      <w:r>
        <w:rPr>
          <w:rFonts w:hint="eastAsia" w:ascii="仿宋_GB2312" w:hAnsi="仿宋_GB2312" w:eastAsia="仿宋_GB2312" w:cs="仿宋_GB2312"/>
          <w:color w:val="auto"/>
          <w:sz w:val="32"/>
          <w:szCs w:val="32"/>
        </w:rPr>
        <w:t>生态环境损害的修复方式包括：</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（一）生态环境损害可以修复的，原则上由赔偿义务人负责组织自行或委托具有修复能力的第三方机构进行修复；赔偿权利人及其指定的部门或机构可以代为实施修复；</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态环境损害无法修复的，若符合有关生态环境修复法规政策和规划，可以由赔偿义务人开展替代修复，或者由赔偿权利人及其指定的部门或机构在赔偿义务人依法缴纳相应赔偿金后，组织开展替代修复，实现生态环境及其服务功能等量恢复；若无法实施替代修复，赔偿义务人应当依法赔偿相关损失和生态环境损害赔偿范围内的相关费用；</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（三）生态环境损害无法完全修复的，参照前两款规定分别处理。</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第三十三条【自然恢复】</w:t>
      </w:r>
      <w:r>
        <w:rPr>
          <w:rFonts w:hint="eastAsia" w:ascii="仿宋_GB2312" w:hAnsi="仿宋_GB2312" w:eastAsia="仿宋_GB2312" w:cs="仿宋_GB2312"/>
          <w:color w:val="auto"/>
          <w:sz w:val="32"/>
          <w:szCs w:val="32"/>
        </w:rPr>
        <w:t>由赔偿权利人及其指定的部门或机构负责修复且具备自然恢复水土条件的受损生态生态环境，可以实施自然恢复；赔偿权利人及其指定的部门或机构应当在自然恢复期间定期组织开展跟踪评估。</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第三十四条【方案变更】</w:t>
      </w:r>
      <w:r>
        <w:rPr>
          <w:rFonts w:hint="eastAsia" w:ascii="仿宋_GB2312" w:hAnsi="仿宋_GB2312" w:eastAsia="仿宋_GB2312" w:cs="仿宋_GB2312"/>
          <w:color w:val="auto"/>
          <w:sz w:val="32"/>
          <w:szCs w:val="32"/>
        </w:rPr>
        <w:t>修复过程中需要对实施方案进行调整的，赔偿义务人或修复项目承担单位应征得赔偿权利人及其指定的部门或机构的同意，重大变更需重新组织论证。</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因不可抗力导致修复工程无法继续的，经赔偿权利人及其指定的部门或机构确认，并向社会进行公示后，方可终止修复，并启动替代修复工程或赔偿相关损害和费用。</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第三十五条【多样化修复责任】</w:t>
      </w:r>
      <w:r>
        <w:rPr>
          <w:rFonts w:hint="eastAsia" w:ascii="仿宋_GB2312" w:hAnsi="仿宋_GB2312" w:eastAsia="仿宋_GB2312" w:cs="仿宋_GB2312"/>
          <w:color w:val="auto"/>
          <w:sz w:val="32"/>
          <w:szCs w:val="32"/>
        </w:rPr>
        <w:t>鼓励赔偿权利人及其指定的部门或机构根据案件实际情况探索“碳汇认购”“异地修复”“技改抵扣”“劳务抵偿”“分期赔付”和“集中修复”等多样化的修复（赔偿）责任承担方式。</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第三十六条【修复监督】</w:t>
      </w:r>
      <w:r>
        <w:rPr>
          <w:rFonts w:hint="eastAsia" w:ascii="仿宋_GB2312" w:hAnsi="仿宋_GB2312" w:eastAsia="仿宋_GB2312" w:cs="仿宋_GB2312"/>
          <w:color w:val="auto"/>
          <w:sz w:val="32"/>
          <w:szCs w:val="32"/>
        </w:rPr>
        <w:t>赔偿权利人及其指定的部门或机构负责监督修复项目实施，加强对修复过程的监督管理，要求修复项目承担单位根据修复方案进行修复施工并定期报送施工台账。</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鼓励企事业单位、社会团体和个人参与生态环境损害修复项目的监督。</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第三十七条【第三方责任】</w:t>
      </w:r>
      <w:r>
        <w:rPr>
          <w:rFonts w:hint="eastAsia" w:ascii="仿宋_GB2312" w:hAnsi="仿宋_GB2312" w:eastAsia="仿宋_GB2312" w:cs="仿宋_GB2312"/>
          <w:color w:val="auto"/>
          <w:sz w:val="32"/>
          <w:szCs w:val="32"/>
        </w:rPr>
        <w:t>承担生态环境修复方案编制、修复项目实施、监理和修复效果评估等第三方服务机构及工作人员应当具备所从事领域的生态环境损害修复专业能力，严格按照相应法律、法规、规章及技术规范的规定开展服务。</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前款第三方机构应当对其出具的方案、报告等材料的科学性、合理性、有效性进行充分论证，并对其真实性、合法性负责。</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第三十八条【修复效果评估】</w:t>
      </w:r>
      <w:r>
        <w:rPr>
          <w:rFonts w:hint="eastAsia" w:ascii="仿宋_GB2312" w:hAnsi="仿宋_GB2312" w:eastAsia="仿宋_GB2312" w:cs="仿宋_GB2312"/>
          <w:color w:val="auto"/>
          <w:sz w:val="32"/>
          <w:szCs w:val="32"/>
        </w:rPr>
        <w:t>赔偿权利人及其指定的部门或机构在接到赔偿义务人或修复承担单位修复完成通报后，应当重点针对生态环境质量和生态服务功能的修复情况及时组织开展生态环境修复效果评估。</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修复效果评估可以采取委托第三方机构、专家论证等方式实施。评估费用由赔偿义务人承担。</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生态环境修复效果评估报告、生态环境损害修复终止报告不得由编制生态环境损害修复实施方案的机构出具。</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第三十九条【评估结果】</w:t>
      </w:r>
      <w:r>
        <w:rPr>
          <w:rFonts w:hint="eastAsia" w:ascii="仿宋_GB2312" w:hAnsi="仿宋_GB2312" w:eastAsia="仿宋_GB2312" w:cs="仿宋_GB2312"/>
          <w:color w:val="auto"/>
          <w:sz w:val="32"/>
          <w:szCs w:val="32"/>
        </w:rPr>
        <w:t>经修复效果评估认定达到生态环境修复目标的，修复效果评估报告应当提交生态环境主管部门备案存档。</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经评估认为修复效果未达到修复方案要求的，赔偿义务人或修复项目承担单位应当按照修复方案目标继续实施修复，修复完成后重新进行修复效果评估。</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bidi w:val="0"/>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sz w:val="32"/>
          <w:szCs w:val="28"/>
        </w:rPr>
        <w:t>保障监督</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第四十条【程序衔接】</w:t>
      </w:r>
      <w:r>
        <w:rPr>
          <w:rFonts w:hint="eastAsia" w:ascii="仿宋_GB2312" w:hAnsi="仿宋_GB2312" w:eastAsia="仿宋_GB2312" w:cs="仿宋_GB2312"/>
          <w:color w:val="auto"/>
          <w:sz w:val="32"/>
          <w:szCs w:val="32"/>
        </w:rPr>
        <w:t>检察机关针对污染环境、破坏生态等损害社会公共利益的行为向人民法院提起生态环境民事公益诉讼的，应当在具有全国影响的媒体发布公告，公告期间为三十日，并通报相关赔偿权利人。</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赔偿权利人及其指定的部门或机构接到通报后决定启动生态环境损害索赔程序的，应当在前款公告期内书面告知检察机关，检察机关可以中止公益诉讼案件办理，并做好案件证据材料的交接和法律支持工作。</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第四十一条【补充索赔】</w:t>
      </w:r>
      <w:r>
        <w:rPr>
          <w:rFonts w:hint="eastAsia" w:ascii="仿宋_GB2312" w:hAnsi="仿宋_GB2312" w:eastAsia="仿宋_GB2312" w:cs="仿宋_GB2312"/>
          <w:color w:val="auto"/>
          <w:sz w:val="32"/>
          <w:szCs w:val="32"/>
        </w:rPr>
        <w:t>生态环境损害赔偿工作或生态环境民事公益诉讼结束后，发现赔偿义务人有新的生态环境损害行为或者原损害行为有遗漏部分的，赔偿权利人及其指定的部门或机构、检察机关可以提起新的诉讼或开展新的索赔工作。</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第四十二条【赔偿优先】</w:t>
      </w:r>
      <w:r>
        <w:rPr>
          <w:rFonts w:hint="eastAsia" w:ascii="仿宋_GB2312" w:hAnsi="仿宋_GB2312" w:eastAsia="仿宋_GB2312" w:cs="仿宋_GB2312"/>
          <w:color w:val="auto"/>
          <w:sz w:val="32"/>
          <w:szCs w:val="32"/>
        </w:rPr>
        <w:t>赔偿义务人因同一生态环境损害行为需要承担行政责任或者刑事责任的，不影响其依法承担生态环境损害赔偿责任。赔偿义务人的财产不足以同时承担生态环境损害赔偿责任和缴纳罚款、罚金时，优先用于承担生态环境损害赔偿责任。</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第四十三条【裁量情节】</w:t>
      </w:r>
      <w:r>
        <w:rPr>
          <w:rFonts w:hint="eastAsia" w:ascii="仿宋_GB2312" w:hAnsi="仿宋_GB2312" w:eastAsia="仿宋_GB2312" w:cs="仿宋_GB2312"/>
          <w:color w:val="auto"/>
          <w:sz w:val="32"/>
          <w:szCs w:val="32"/>
        </w:rPr>
        <w:t>赔偿义务人有下列情形之一的，相关行政机关和司法机关可以依法将其作为从轻、减轻、免予处理的裁量参考：</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（一）积极参与生态环境损害赔偿磋商，并及时履行赔偿协议的；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（二）在磋商未达成一致前主动开展生态环境修复，并取得明显效果的；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（三）其他积极配合落实生态环境损害赔偿责任的情形。</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第四十四条【公益诉讼资金】</w:t>
      </w:r>
      <w:r>
        <w:rPr>
          <w:rFonts w:hint="eastAsia" w:ascii="仿宋_GB2312" w:hAnsi="仿宋_GB2312" w:eastAsia="仿宋_GB2312" w:cs="仿宋_GB2312"/>
          <w:color w:val="auto"/>
          <w:sz w:val="32"/>
          <w:szCs w:val="32"/>
        </w:rPr>
        <w:t>经人民法院生效法律文书确定的生态环境无法修复或者无法完全修复的损害赔偿资金，以及赔偿义务人未履行义务或者未完全履行义务时应当支付的生态环境修复费用，可以参照相关规定管理；需要修复生态环境的，人民法院应当及时移送赔偿权利人及其指定的部门或机构组织实施。</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第四十五条【公开范围】</w:t>
      </w:r>
      <w:r>
        <w:rPr>
          <w:rFonts w:hint="eastAsia" w:ascii="仿宋_GB2312" w:hAnsi="仿宋_GB2312" w:eastAsia="仿宋_GB2312" w:cs="仿宋_GB2312"/>
          <w:color w:val="auto"/>
          <w:sz w:val="32"/>
          <w:szCs w:val="32"/>
        </w:rPr>
        <w:t>赔偿权利人及其指定的部门或机构应当适时依法公开生态环境损害调查结论、损害鉴定评估结果中涉及生态环境公共利益的内容、磋商或诉讼结果、修复评估结果和实施替代修复时的资金使用情况等信息。</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第四十六条【主动公开】</w:t>
      </w:r>
      <w:r>
        <w:rPr>
          <w:rFonts w:hint="eastAsia" w:ascii="仿宋_GB2312" w:hAnsi="仿宋_GB2312" w:eastAsia="仿宋_GB2312" w:cs="仿宋_GB2312"/>
          <w:color w:val="auto"/>
          <w:sz w:val="32"/>
          <w:szCs w:val="32"/>
        </w:rPr>
        <w:t>赔偿权利人及其指定的部门或机构应当在生态环境损害赔偿工作结束后十五日内，通过以下一种或几种方式公开本条例第四十六条所列信息：</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（一）地方人民政府门户网站；</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（二）地方生态环境主管部门门户网站；</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（三）政府公报、新闻发布会、报刊、广播、电视等</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（四）微信、微博或者其他互联网政务媒体等。</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第四十七条【法律责任】</w:t>
      </w:r>
      <w:r>
        <w:rPr>
          <w:rFonts w:hint="eastAsia" w:ascii="仿宋_GB2312" w:hAnsi="仿宋_GB2312" w:eastAsia="仿宋_GB2312" w:cs="仿宋_GB2312"/>
          <w:color w:val="auto"/>
          <w:sz w:val="32"/>
          <w:szCs w:val="32"/>
        </w:rPr>
        <w:t>赔偿权利人及其指定的部门或机构的负责人、工作人员有下列行为之一的，依法追究相关责任；构成犯罪的，依法追究刑事责任：</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（一）怠于处置生态环境损害赔偿案件或处置不当而导致损害范围扩大的或损害程度恶化的；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（二）在日常履职过程中发现生态环境损害赔偿案件未及时报告，致使损害扩大、造成不良社会影响的；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（三）在调查过程中存在弄虚作假致使调查结果失实的，或在调查生态环境损害赔偿案件中指使篡改、伪造监测数据及其他相关调查资料的；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（四）在磋商、修复、资金分配或资金审核等工作中存在滥用职权、玩忽职守、徇私舞弊等违法违纪行为的；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（五）其他违反法律法规规定的。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定评估机构及从业人员在鉴定评估工作中存在隐瞒情况、弄虚作假等行为，致使鉴定评估失实或鉴定评估结论错误的，赔偿权利人及其指定的部门或机构应当建议资质管理部门对鉴定评估机构及相关个人依法处理。</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赔偿义务人有本法以非法干预、提供虚假材料或者串通作弊等手段影响磋商正常进行的，依法追究其相关责任。</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赔偿义务人或修复项目承担单位因施工故意延期、施工质量问题、施工导致次生环境问题等造成较大影响的，依法依规追究相关责任。</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黑体" w:hAnsi="黑体" w:eastAsia="黑体" w:cs="黑体"/>
          <w:color w:val="auto"/>
          <w:sz w:val="32"/>
          <w:szCs w:val="32"/>
          <w:lang w:val="en-US" w:eastAsia="zh-CN" w:bidi="ar-SA"/>
        </w:rPr>
        <w:t>第四十八条【表彰奖励】</w:t>
      </w:r>
      <w:r>
        <w:rPr>
          <w:rFonts w:hint="eastAsia" w:ascii="仿宋_GB2312" w:hAnsi="仿宋_GB2312" w:eastAsia="仿宋_GB2312" w:cs="仿宋_GB2312"/>
          <w:color w:val="auto"/>
          <w:sz w:val="32"/>
          <w:szCs w:val="32"/>
        </w:rPr>
        <w:t>对在生态环境损害赔偿工作中做出显著成绩的单位和个人，可依照有关规定给予表彰和奖励。</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val="en-US" w:eastAsia="zh-CN" w:bidi="ar-SA"/>
        </w:rPr>
        <w:t>第四十九条【转致条款】</w:t>
      </w:r>
      <w:r>
        <w:rPr>
          <w:rFonts w:hint="eastAsia" w:ascii="仿宋_GB2312" w:hAnsi="仿宋_GB2312" w:eastAsia="仿宋_GB2312" w:cs="仿宋_GB2312"/>
          <w:color w:val="auto"/>
          <w:sz w:val="32"/>
          <w:szCs w:val="32"/>
        </w:rPr>
        <w:t>法律、行政法规对生态环境损害赔偿另有规定的，从其规定。</w:t>
      </w:r>
    </w:p>
    <w:p>
      <w:pPr>
        <w:pStyle w:val="2"/>
        <w:keepNext w:val="0"/>
        <w:keepLines w:val="0"/>
        <w:pageBreakBefore w:val="0"/>
        <w:widowControl/>
        <w:kinsoku/>
        <w:wordWrap/>
        <w:overflowPunct/>
        <w:topLinePunct w:val="0"/>
        <w:bidi w:val="0"/>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kinsoku/>
        <w:wordWrap/>
        <w:overflowPunct/>
        <w:topLinePunct w:val="0"/>
        <w:bidi w:val="0"/>
        <w:snapToGrid/>
        <w:spacing w:after="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第五十条【术语解释】</w:t>
      </w:r>
      <w:r>
        <w:rPr>
          <w:rFonts w:hint="eastAsia" w:ascii="仿宋_GB2312" w:hAnsi="仿宋_GB2312" w:eastAsia="仿宋_GB2312" w:cs="仿宋_GB2312"/>
          <w:color w:val="auto"/>
          <w:sz w:val="32"/>
          <w:szCs w:val="32"/>
        </w:rPr>
        <w:t>本条例所称生态环境损害，指因污染环境、破坏生态造成大气、地表水、地下水、土壤、森林等环境要素和植物、动物、微生物等生物要素的不利改变，以及上述要素构成的生态系统功能退化。涉及人身伤害、个人和集体财产损失要求赔偿的或者历史遗留且无责任主体的生态环境损害修复，不适用本条例。</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本条例有关期间的规定，除注明工作日（不包含节假日）外，其他期间按自然日计算。</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第五十一条</w:t>
      </w:r>
      <w:r>
        <w:rPr>
          <w:rFonts w:hint="eastAsia" w:hAnsi="黑体" w:cs="黑体"/>
          <w:color w:val="auto"/>
          <w:sz w:val="32"/>
          <w:szCs w:val="32"/>
          <w:lang w:val="en-US" w:eastAsia="zh-CN" w:bidi="ar-SA"/>
        </w:rPr>
        <w:t xml:space="preserve"> </w:t>
      </w:r>
      <w:r>
        <w:rPr>
          <w:rFonts w:hint="eastAsia" w:ascii="仿宋_GB2312" w:hAnsi="仿宋_GB2312" w:eastAsia="仿宋_GB2312" w:cs="仿宋_GB2312"/>
          <w:color w:val="auto"/>
          <w:sz w:val="32"/>
          <w:szCs w:val="32"/>
        </w:rPr>
        <w:t>本条例第十五条第三款适用于生态环境损害行为不在生态敏感区内，赔偿义务人初次因违法行为造成生态环境损害被索赔，且符合以下条件的情形：</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（一）违法行为持续时间短、污染环境或破坏生态程度轻微，案发后24小时内完成整改或损害修复的；</w:t>
      </w:r>
    </w:p>
    <w:p>
      <w:pPr>
        <w:pStyle w:val="3"/>
        <w:keepNext w:val="0"/>
        <w:keepLines w:val="0"/>
        <w:pageBreakBefore w:val="0"/>
        <w:widowControl/>
        <w:kinsoku/>
        <w:wordWrap/>
        <w:overflowPunct/>
        <w:topLinePunct w:val="0"/>
        <w:bidi w:val="0"/>
        <w:snapToGrid/>
        <w:spacing w:line="560" w:lineRule="exact"/>
        <w:ind w:left="180" w:leftChars="7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（二）不在国家、省重点保护目录内，未达到刑事立案标准的野生动植物资源破坏案件；</w:t>
      </w:r>
    </w:p>
    <w:p>
      <w:pPr>
        <w:pStyle w:val="3"/>
        <w:keepNext w:val="0"/>
        <w:keepLines w:val="0"/>
        <w:pageBreakBefore w:val="0"/>
        <w:widowControl/>
        <w:kinsoku/>
        <w:wordWrap/>
        <w:overflowPunct/>
        <w:topLinePunct w:val="0"/>
        <w:bidi w:val="0"/>
        <w:snapToGrid/>
        <w:spacing w:line="560" w:lineRule="exact"/>
        <w:ind w:left="180" w:leftChars="7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（三）其他污染环境或破坏生态行为轻微且及时纠正，未造成生态环境影响后果的。</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第五十二条</w:t>
      </w:r>
    </w:p>
    <w:p>
      <w:pPr>
        <w:pStyle w:val="3"/>
        <w:keepNext w:val="0"/>
        <w:keepLines w:val="0"/>
        <w:pageBreakBefore w:val="0"/>
        <w:widowControl/>
        <w:kinsoku/>
        <w:wordWrap/>
        <w:overflowPunct/>
        <w:topLinePunct w:val="0"/>
        <w:bidi w:val="0"/>
        <w:snapToGrid/>
        <w:spacing w:line="560" w:lineRule="exact"/>
        <w:ind w:left="180" w:leftChars="7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本条例第三十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条所称“碳汇认购”是</w:t>
      </w:r>
      <w:r>
        <w:rPr>
          <w:rFonts w:hint="eastAsia" w:ascii="仿宋_GB2312" w:hAnsi="仿宋_GB2312" w:eastAsia="仿宋_GB2312" w:cs="仿宋_GB2312"/>
          <w:color w:val="auto"/>
          <w:sz w:val="32"/>
          <w:szCs w:val="32"/>
          <w:lang w:eastAsia="zh-CN"/>
        </w:rPr>
        <w:t>指</w:t>
      </w:r>
      <w:r>
        <w:rPr>
          <w:rFonts w:hint="eastAsia" w:ascii="仿宋_GB2312" w:hAnsi="仿宋_GB2312" w:eastAsia="仿宋_GB2312" w:cs="仿宋_GB2312"/>
          <w:color w:val="auto"/>
          <w:sz w:val="32"/>
          <w:szCs w:val="32"/>
        </w:rPr>
        <w:t>自愿购买一定量的碳汇以实现对生态环境进行修复的交易过程；</w:t>
      </w:r>
    </w:p>
    <w:p>
      <w:pPr>
        <w:pStyle w:val="3"/>
        <w:keepNext w:val="0"/>
        <w:keepLines w:val="0"/>
        <w:pageBreakBefore w:val="0"/>
        <w:widowControl/>
        <w:kinsoku/>
        <w:wordWrap/>
        <w:overflowPunct/>
        <w:topLinePunct w:val="0"/>
        <w:bidi w:val="0"/>
        <w:snapToGrid/>
        <w:spacing w:line="560" w:lineRule="exact"/>
        <w:ind w:left="180" w:leftChars="7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w:t>
      </w:r>
      <w:r>
        <w:rPr>
          <w:rFonts w:hint="eastAsia" w:ascii="仿宋_GB2312" w:hAnsi="仿宋_GB2312" w:eastAsia="仿宋_GB2312" w:cs="仿宋_GB2312"/>
          <w:color w:val="auto"/>
          <w:sz w:val="32"/>
          <w:szCs w:val="32"/>
          <w:lang w:eastAsia="zh-CN"/>
        </w:rPr>
        <w:t>第三十五</w:t>
      </w:r>
      <w:r>
        <w:rPr>
          <w:rFonts w:hint="eastAsia" w:ascii="仿宋_GB2312" w:hAnsi="仿宋_GB2312" w:eastAsia="仿宋_GB2312" w:cs="仿宋_GB2312"/>
          <w:color w:val="auto"/>
          <w:sz w:val="32"/>
          <w:szCs w:val="32"/>
        </w:rPr>
        <w:t>条所称“异地修复”是指受损生态环境不能完全修复之时，另择适当地点进行补植复绿等具体措施的修复方式；</w:t>
      </w:r>
    </w:p>
    <w:p>
      <w:pPr>
        <w:pStyle w:val="3"/>
        <w:keepNext w:val="0"/>
        <w:keepLines w:val="0"/>
        <w:pageBreakBefore w:val="0"/>
        <w:widowControl/>
        <w:kinsoku/>
        <w:wordWrap/>
        <w:overflowPunct/>
        <w:topLinePunct w:val="0"/>
        <w:bidi w:val="0"/>
        <w:snapToGrid/>
        <w:spacing w:line="560" w:lineRule="exact"/>
        <w:ind w:left="180" w:leftChars="7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w:t>
      </w:r>
      <w:r>
        <w:rPr>
          <w:rFonts w:hint="eastAsia" w:ascii="仿宋_GB2312" w:hAnsi="仿宋_GB2312" w:eastAsia="仿宋_GB2312" w:cs="仿宋_GB2312"/>
          <w:color w:val="auto"/>
          <w:sz w:val="32"/>
          <w:szCs w:val="32"/>
          <w:lang w:eastAsia="zh-CN"/>
        </w:rPr>
        <w:t>第三十五</w:t>
      </w:r>
      <w:r>
        <w:rPr>
          <w:rFonts w:hint="eastAsia" w:ascii="仿宋_GB2312" w:hAnsi="仿宋_GB2312" w:eastAsia="仿宋_GB2312" w:cs="仿宋_GB2312"/>
          <w:color w:val="auto"/>
          <w:sz w:val="32"/>
          <w:szCs w:val="32"/>
        </w:rPr>
        <w:t>条所称“技改抵扣”是指通过技术改造对赔偿义务人所应承担的生态环境损害赔偿责任进行抵扣的情形；</w:t>
      </w:r>
    </w:p>
    <w:p>
      <w:pPr>
        <w:pStyle w:val="3"/>
        <w:keepNext w:val="0"/>
        <w:keepLines w:val="0"/>
        <w:pageBreakBefore w:val="0"/>
        <w:widowControl/>
        <w:kinsoku/>
        <w:wordWrap/>
        <w:overflowPunct/>
        <w:topLinePunct w:val="0"/>
        <w:bidi w:val="0"/>
        <w:snapToGrid/>
        <w:spacing w:line="560" w:lineRule="exact"/>
        <w:ind w:left="180" w:leftChars="7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w:t>
      </w:r>
      <w:r>
        <w:rPr>
          <w:rFonts w:hint="eastAsia" w:ascii="仿宋_GB2312" w:hAnsi="仿宋_GB2312" w:eastAsia="仿宋_GB2312" w:cs="仿宋_GB2312"/>
          <w:color w:val="auto"/>
          <w:sz w:val="32"/>
          <w:szCs w:val="32"/>
          <w:lang w:eastAsia="zh-CN"/>
        </w:rPr>
        <w:t>第三十五</w:t>
      </w:r>
      <w:r>
        <w:rPr>
          <w:rFonts w:hint="eastAsia" w:ascii="仿宋_GB2312" w:hAnsi="仿宋_GB2312" w:eastAsia="仿宋_GB2312" w:cs="仿宋_GB2312"/>
          <w:color w:val="auto"/>
          <w:sz w:val="32"/>
          <w:szCs w:val="32"/>
        </w:rPr>
        <w:t>条所称“劳务抵偿”是指赔偿义务人通过提供环境公益劳务，抵偿其应支付的生态环境损害赔偿费用；</w:t>
      </w:r>
    </w:p>
    <w:p>
      <w:pPr>
        <w:pStyle w:val="3"/>
        <w:keepNext w:val="0"/>
        <w:keepLines w:val="0"/>
        <w:pageBreakBefore w:val="0"/>
        <w:widowControl/>
        <w:kinsoku/>
        <w:wordWrap/>
        <w:overflowPunct/>
        <w:topLinePunct w:val="0"/>
        <w:bidi w:val="0"/>
        <w:snapToGrid/>
        <w:spacing w:line="560" w:lineRule="exact"/>
        <w:ind w:left="180" w:leftChars="7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w:t>
      </w:r>
      <w:r>
        <w:rPr>
          <w:rFonts w:hint="eastAsia" w:ascii="仿宋_GB2312" w:hAnsi="仿宋_GB2312" w:eastAsia="仿宋_GB2312" w:cs="仿宋_GB2312"/>
          <w:color w:val="auto"/>
          <w:sz w:val="32"/>
          <w:szCs w:val="32"/>
          <w:lang w:eastAsia="zh-CN"/>
        </w:rPr>
        <w:t>第三十五</w:t>
      </w:r>
      <w:r>
        <w:rPr>
          <w:rFonts w:hint="eastAsia" w:ascii="仿宋_GB2312" w:hAnsi="仿宋_GB2312" w:eastAsia="仿宋_GB2312" w:cs="仿宋_GB2312"/>
          <w:color w:val="auto"/>
          <w:sz w:val="32"/>
          <w:szCs w:val="32"/>
        </w:rPr>
        <w:t>条所称“分期赔付”是指赔偿义务人欠缺一次性偿付能力时，分期给付其所负全部生态环境损害赔偿费用；</w:t>
      </w:r>
    </w:p>
    <w:p>
      <w:pPr>
        <w:pStyle w:val="3"/>
        <w:keepNext w:val="0"/>
        <w:keepLines w:val="0"/>
        <w:pageBreakBefore w:val="0"/>
        <w:widowControl/>
        <w:kinsoku/>
        <w:wordWrap/>
        <w:overflowPunct/>
        <w:topLinePunct w:val="0"/>
        <w:bidi w:val="0"/>
        <w:snapToGrid/>
        <w:spacing w:line="560" w:lineRule="exact"/>
        <w:ind w:left="180" w:leftChars="7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w:t>
      </w:r>
      <w:r>
        <w:rPr>
          <w:rFonts w:hint="eastAsia" w:ascii="仿宋_GB2312" w:hAnsi="仿宋_GB2312" w:eastAsia="仿宋_GB2312" w:cs="仿宋_GB2312"/>
          <w:color w:val="auto"/>
          <w:sz w:val="32"/>
          <w:szCs w:val="32"/>
          <w:lang w:eastAsia="zh-CN"/>
        </w:rPr>
        <w:t>第三十五</w:t>
      </w:r>
      <w:r>
        <w:rPr>
          <w:rFonts w:hint="eastAsia" w:ascii="仿宋_GB2312" w:hAnsi="仿宋_GB2312" w:eastAsia="仿宋_GB2312" w:cs="仿宋_GB2312"/>
          <w:color w:val="auto"/>
          <w:sz w:val="32"/>
          <w:szCs w:val="32"/>
        </w:rPr>
        <w:t>条所称“集中修复”是指将多个生态环境损害替代性修复项目集中在特定位置实施，以提高生态修复整体效果和社会警示效果。</w:t>
      </w:r>
    </w:p>
    <w:p>
      <w:pPr>
        <w:pStyle w:val="3"/>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第五十三条【生效日期】</w:t>
      </w:r>
      <w:r>
        <w:rPr>
          <w:rFonts w:hint="eastAsia" w:ascii="仿宋_GB2312" w:hAnsi="仿宋_GB2312" w:eastAsia="仿宋_GB2312" w:cs="仿宋_GB2312"/>
          <w:color w:val="auto"/>
          <w:sz w:val="32"/>
          <w:szCs w:val="32"/>
        </w:rPr>
        <w:t>本条例自XX年XX月XX日起施行。XXX同时废止。</w:t>
      </w:r>
    </w:p>
    <w:p>
      <w:pPr>
        <w:keepNext w:val="0"/>
        <w:keepLines w:val="0"/>
        <w:pageBreakBefore w:val="0"/>
        <w:widowControl/>
        <w:kinsoku/>
        <w:wordWrap/>
        <w:overflowPunct/>
        <w:topLinePunct w:val="0"/>
        <w:bidi w:val="0"/>
        <w:snapToGrid/>
        <w:spacing w:line="560" w:lineRule="exact"/>
        <w:textAlignment w:val="auto"/>
        <w:rPr>
          <w:rFonts w:ascii="仿宋" w:eastAsia="仿宋" w:cs="仿宋"/>
          <w:color w:val="auto"/>
          <w:sz w:val="32"/>
          <w:szCs w:val="32"/>
        </w:rPr>
      </w:pPr>
    </w:p>
    <w:sectPr>
      <w:footerReference r:id="rId5" w:type="default"/>
      <w:pgSz w:w="12240" w:h="15840"/>
      <w:pgMar w:top="2154" w:right="1531" w:bottom="1871" w:left="1531"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永中楷体">
    <w:panose1 w:val="02010600030101010101"/>
    <w:charset w:val="86"/>
    <w:family w:val="auto"/>
    <w:pitch w:val="default"/>
    <w:sig w:usb0="000008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18"/>
        <w:szCs w:val="16"/>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4"/>
                            </w:rPr>
                            <w:id w:val="1907572054"/>
                            <w:docPartObj>
                              <w:docPartGallery w:val="autotext"/>
                            </w:docPartObj>
                          </w:sdtPr>
                          <w:sdtEndPr>
                            <w:rPr>
                              <w:rFonts w:hint="eastAsia" w:ascii="宋体" w:hAnsi="宋体" w:eastAsia="宋体" w:cs="宋体"/>
                              <w:sz w:val="28"/>
                              <w:szCs w:val="24"/>
                            </w:rPr>
                          </w:sdtEndPr>
                          <w:sdtContent>
                            <w:p>
                              <w:pPr>
                                <w:pStyle w:val="7"/>
                                <w:jc w:val="center"/>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   \* MERGEFORMAT </w:instrText>
                              </w:r>
                              <w:r>
                                <w:rPr>
                                  <w:rFonts w:hint="eastAsia" w:ascii="宋体" w:hAnsi="宋体" w:eastAsia="宋体" w:cs="宋体"/>
                                  <w:sz w:val="28"/>
                                  <w:szCs w:val="24"/>
                                </w:rPr>
                                <w:fldChar w:fldCharType="separate"/>
                              </w:r>
                              <w:r>
                                <w:rPr>
                                  <w:rFonts w:hint="eastAsia" w:ascii="宋体" w:hAnsi="宋体" w:eastAsia="宋体" w:cs="宋体"/>
                                  <w:sz w:val="28"/>
                                  <w:szCs w:val="24"/>
                                </w:rPr>
                                <w:t>2</w:t>
                              </w:r>
                              <w:r>
                                <w:rPr>
                                  <w:rFonts w:hint="eastAsia" w:ascii="宋体" w:hAnsi="宋体" w:eastAsia="宋体" w:cs="宋体"/>
                                  <w:sz w:val="28"/>
                                  <w:szCs w:val="24"/>
                                </w:rPr>
                                <w:fldChar w:fldCharType="end"/>
                              </w:r>
                            </w:p>
                          </w:sdtContent>
                        </w:sdt>
                        <w:p>
                          <w:pPr>
                            <w:rPr>
                              <w:rFonts w:hint="eastAsia" w:ascii="宋体" w:hAnsi="宋体" w:eastAsia="宋体" w:cs="宋体"/>
                              <w:sz w:val="28"/>
                              <w:szCs w:val="2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rFonts w:hint="eastAsia" w:ascii="宋体" w:hAnsi="宋体" w:eastAsia="宋体" w:cs="宋体"/>
                        <w:sz w:val="28"/>
                        <w:szCs w:val="24"/>
                      </w:rPr>
                      <w:id w:val="1907572054"/>
                      <w:docPartObj>
                        <w:docPartGallery w:val="autotext"/>
                      </w:docPartObj>
                    </w:sdtPr>
                    <w:sdtEndPr>
                      <w:rPr>
                        <w:rFonts w:hint="eastAsia" w:ascii="宋体" w:hAnsi="宋体" w:eastAsia="宋体" w:cs="宋体"/>
                        <w:sz w:val="28"/>
                        <w:szCs w:val="24"/>
                      </w:rPr>
                    </w:sdtEndPr>
                    <w:sdtContent>
                      <w:p>
                        <w:pPr>
                          <w:pStyle w:val="7"/>
                          <w:jc w:val="center"/>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   \* MERGEFORMAT </w:instrText>
                        </w:r>
                        <w:r>
                          <w:rPr>
                            <w:rFonts w:hint="eastAsia" w:ascii="宋体" w:hAnsi="宋体" w:eastAsia="宋体" w:cs="宋体"/>
                            <w:sz w:val="28"/>
                            <w:szCs w:val="24"/>
                          </w:rPr>
                          <w:fldChar w:fldCharType="separate"/>
                        </w:r>
                        <w:r>
                          <w:rPr>
                            <w:rFonts w:hint="eastAsia" w:ascii="宋体" w:hAnsi="宋体" w:eastAsia="宋体" w:cs="宋体"/>
                            <w:sz w:val="28"/>
                            <w:szCs w:val="24"/>
                          </w:rPr>
                          <w:t>2</w:t>
                        </w:r>
                        <w:r>
                          <w:rPr>
                            <w:rFonts w:hint="eastAsia" w:ascii="宋体" w:hAnsi="宋体" w:eastAsia="宋体" w:cs="宋体"/>
                            <w:sz w:val="28"/>
                            <w:szCs w:val="24"/>
                          </w:rPr>
                          <w:fldChar w:fldCharType="end"/>
                        </w:r>
                      </w:p>
                    </w:sdtContent>
                  </w:sdt>
                  <w:p>
                    <w:pPr>
                      <w:rPr>
                        <w:rFonts w:hint="eastAsia" w:ascii="宋体" w:hAnsi="宋体" w:eastAsia="宋体" w:cs="宋体"/>
                        <w:sz w:val="28"/>
                        <w:szCs w:val="24"/>
                      </w:rPr>
                    </w:pPr>
                  </w:p>
                </w:txbxContent>
              </v:textbox>
            </v:shape>
          </w:pict>
        </mc:Fallback>
      </mc:AlternateContent>
    </w:r>
  </w:p>
  <w:p>
    <w:pPr>
      <w:pStyle w:val="7"/>
      <w:rPr>
        <w:rFonts w:ascii="Times New Roman" w:hAnsi="Times New Roman"/>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C1"/>
    <w:rsid w:val="000005A9"/>
    <w:rsid w:val="000008D4"/>
    <w:rsid w:val="00000E75"/>
    <w:rsid w:val="00001127"/>
    <w:rsid w:val="000019C1"/>
    <w:rsid w:val="00004102"/>
    <w:rsid w:val="00004805"/>
    <w:rsid w:val="00004DF8"/>
    <w:rsid w:val="00005B0F"/>
    <w:rsid w:val="00006B39"/>
    <w:rsid w:val="000073B2"/>
    <w:rsid w:val="00007E78"/>
    <w:rsid w:val="0001062E"/>
    <w:rsid w:val="000111B5"/>
    <w:rsid w:val="000126E6"/>
    <w:rsid w:val="00013308"/>
    <w:rsid w:val="00013BBE"/>
    <w:rsid w:val="00013E3C"/>
    <w:rsid w:val="00014464"/>
    <w:rsid w:val="00014AB1"/>
    <w:rsid w:val="00014D2F"/>
    <w:rsid w:val="00016A24"/>
    <w:rsid w:val="00020270"/>
    <w:rsid w:val="00020E4C"/>
    <w:rsid w:val="00021790"/>
    <w:rsid w:val="00023315"/>
    <w:rsid w:val="00025772"/>
    <w:rsid w:val="00026313"/>
    <w:rsid w:val="000269CA"/>
    <w:rsid w:val="000274FB"/>
    <w:rsid w:val="000278AA"/>
    <w:rsid w:val="0003097F"/>
    <w:rsid w:val="000310CF"/>
    <w:rsid w:val="00031D2D"/>
    <w:rsid w:val="0003209E"/>
    <w:rsid w:val="00033204"/>
    <w:rsid w:val="00033AF4"/>
    <w:rsid w:val="000347F4"/>
    <w:rsid w:val="00034C50"/>
    <w:rsid w:val="0003518F"/>
    <w:rsid w:val="0003530A"/>
    <w:rsid w:val="0003599F"/>
    <w:rsid w:val="00035BA0"/>
    <w:rsid w:val="00036EFB"/>
    <w:rsid w:val="000375D1"/>
    <w:rsid w:val="00042474"/>
    <w:rsid w:val="00042BE5"/>
    <w:rsid w:val="00043A2B"/>
    <w:rsid w:val="000446D6"/>
    <w:rsid w:val="00044C09"/>
    <w:rsid w:val="00045B21"/>
    <w:rsid w:val="00045C19"/>
    <w:rsid w:val="00045E93"/>
    <w:rsid w:val="000461DD"/>
    <w:rsid w:val="0004648D"/>
    <w:rsid w:val="00046C84"/>
    <w:rsid w:val="00047199"/>
    <w:rsid w:val="00050923"/>
    <w:rsid w:val="00052C2B"/>
    <w:rsid w:val="000530EF"/>
    <w:rsid w:val="000534F5"/>
    <w:rsid w:val="00054AB1"/>
    <w:rsid w:val="0006069D"/>
    <w:rsid w:val="00060D50"/>
    <w:rsid w:val="000623C5"/>
    <w:rsid w:val="00066386"/>
    <w:rsid w:val="00066A75"/>
    <w:rsid w:val="0006715D"/>
    <w:rsid w:val="00070B5C"/>
    <w:rsid w:val="00071058"/>
    <w:rsid w:val="00071635"/>
    <w:rsid w:val="0007334B"/>
    <w:rsid w:val="00073FF1"/>
    <w:rsid w:val="00074147"/>
    <w:rsid w:val="00074871"/>
    <w:rsid w:val="000748A0"/>
    <w:rsid w:val="00075130"/>
    <w:rsid w:val="00075201"/>
    <w:rsid w:val="00075AC4"/>
    <w:rsid w:val="00077140"/>
    <w:rsid w:val="000774AD"/>
    <w:rsid w:val="00077529"/>
    <w:rsid w:val="000803ED"/>
    <w:rsid w:val="000830FE"/>
    <w:rsid w:val="00084A3C"/>
    <w:rsid w:val="00084C1B"/>
    <w:rsid w:val="00087061"/>
    <w:rsid w:val="00087A9B"/>
    <w:rsid w:val="00090D0B"/>
    <w:rsid w:val="00094C20"/>
    <w:rsid w:val="00094F11"/>
    <w:rsid w:val="00096E38"/>
    <w:rsid w:val="0009748E"/>
    <w:rsid w:val="0009758D"/>
    <w:rsid w:val="000A0063"/>
    <w:rsid w:val="000A03A6"/>
    <w:rsid w:val="000A1894"/>
    <w:rsid w:val="000A21C0"/>
    <w:rsid w:val="000A27A3"/>
    <w:rsid w:val="000A2921"/>
    <w:rsid w:val="000A2D38"/>
    <w:rsid w:val="000A32F4"/>
    <w:rsid w:val="000A3550"/>
    <w:rsid w:val="000A39A3"/>
    <w:rsid w:val="000A5C15"/>
    <w:rsid w:val="000A5D88"/>
    <w:rsid w:val="000A62A7"/>
    <w:rsid w:val="000A6766"/>
    <w:rsid w:val="000A6DAD"/>
    <w:rsid w:val="000A7311"/>
    <w:rsid w:val="000B0994"/>
    <w:rsid w:val="000B0E78"/>
    <w:rsid w:val="000B1063"/>
    <w:rsid w:val="000B3E78"/>
    <w:rsid w:val="000B53C9"/>
    <w:rsid w:val="000B5913"/>
    <w:rsid w:val="000B5DB5"/>
    <w:rsid w:val="000B6272"/>
    <w:rsid w:val="000B70A9"/>
    <w:rsid w:val="000B7309"/>
    <w:rsid w:val="000B7660"/>
    <w:rsid w:val="000B77D5"/>
    <w:rsid w:val="000B77F7"/>
    <w:rsid w:val="000C1E9C"/>
    <w:rsid w:val="000C307B"/>
    <w:rsid w:val="000C3802"/>
    <w:rsid w:val="000C4D39"/>
    <w:rsid w:val="000C5792"/>
    <w:rsid w:val="000C652A"/>
    <w:rsid w:val="000C6EF2"/>
    <w:rsid w:val="000C739E"/>
    <w:rsid w:val="000D04CB"/>
    <w:rsid w:val="000D1214"/>
    <w:rsid w:val="000D24C3"/>
    <w:rsid w:val="000D3B3C"/>
    <w:rsid w:val="000D3E3A"/>
    <w:rsid w:val="000D5808"/>
    <w:rsid w:val="000D671D"/>
    <w:rsid w:val="000D6956"/>
    <w:rsid w:val="000D6E36"/>
    <w:rsid w:val="000D7F18"/>
    <w:rsid w:val="000E00D0"/>
    <w:rsid w:val="000E4E4A"/>
    <w:rsid w:val="000E58D0"/>
    <w:rsid w:val="000E60D9"/>
    <w:rsid w:val="000E7AC5"/>
    <w:rsid w:val="000F0752"/>
    <w:rsid w:val="000F0D7B"/>
    <w:rsid w:val="000F1BE0"/>
    <w:rsid w:val="000F220B"/>
    <w:rsid w:val="000F309B"/>
    <w:rsid w:val="000F3126"/>
    <w:rsid w:val="000F3784"/>
    <w:rsid w:val="000F517B"/>
    <w:rsid w:val="000F5F5E"/>
    <w:rsid w:val="000F643C"/>
    <w:rsid w:val="000F670E"/>
    <w:rsid w:val="00100334"/>
    <w:rsid w:val="00101452"/>
    <w:rsid w:val="00101520"/>
    <w:rsid w:val="00104743"/>
    <w:rsid w:val="0010667B"/>
    <w:rsid w:val="00107CBB"/>
    <w:rsid w:val="00111138"/>
    <w:rsid w:val="00113C8F"/>
    <w:rsid w:val="001146C3"/>
    <w:rsid w:val="0011749F"/>
    <w:rsid w:val="00117A77"/>
    <w:rsid w:val="00117B51"/>
    <w:rsid w:val="00120561"/>
    <w:rsid w:val="00122090"/>
    <w:rsid w:val="0012219D"/>
    <w:rsid w:val="00123368"/>
    <w:rsid w:val="00123994"/>
    <w:rsid w:val="00123E07"/>
    <w:rsid w:val="0012441B"/>
    <w:rsid w:val="0012457F"/>
    <w:rsid w:val="001249A6"/>
    <w:rsid w:val="00124B95"/>
    <w:rsid w:val="00125475"/>
    <w:rsid w:val="00126658"/>
    <w:rsid w:val="00131480"/>
    <w:rsid w:val="0013151B"/>
    <w:rsid w:val="0013232C"/>
    <w:rsid w:val="00132BA3"/>
    <w:rsid w:val="00133ED6"/>
    <w:rsid w:val="0013532F"/>
    <w:rsid w:val="00135552"/>
    <w:rsid w:val="00135D58"/>
    <w:rsid w:val="00136418"/>
    <w:rsid w:val="0013732C"/>
    <w:rsid w:val="00140519"/>
    <w:rsid w:val="00140659"/>
    <w:rsid w:val="00140789"/>
    <w:rsid w:val="001415AF"/>
    <w:rsid w:val="001423DE"/>
    <w:rsid w:val="001429CB"/>
    <w:rsid w:val="00142AED"/>
    <w:rsid w:val="0014362E"/>
    <w:rsid w:val="001439AF"/>
    <w:rsid w:val="00143C6F"/>
    <w:rsid w:val="0014409D"/>
    <w:rsid w:val="001445D4"/>
    <w:rsid w:val="00146624"/>
    <w:rsid w:val="00146B26"/>
    <w:rsid w:val="00147168"/>
    <w:rsid w:val="00147846"/>
    <w:rsid w:val="00150161"/>
    <w:rsid w:val="00151100"/>
    <w:rsid w:val="00151A82"/>
    <w:rsid w:val="00152768"/>
    <w:rsid w:val="0015294A"/>
    <w:rsid w:val="00152A08"/>
    <w:rsid w:val="00154511"/>
    <w:rsid w:val="00154D0A"/>
    <w:rsid w:val="001551BC"/>
    <w:rsid w:val="0015610E"/>
    <w:rsid w:val="00156998"/>
    <w:rsid w:val="0016031A"/>
    <w:rsid w:val="00160F5E"/>
    <w:rsid w:val="00160FDA"/>
    <w:rsid w:val="001611A5"/>
    <w:rsid w:val="00161B28"/>
    <w:rsid w:val="00162230"/>
    <w:rsid w:val="00162DE7"/>
    <w:rsid w:val="001644BF"/>
    <w:rsid w:val="001645D7"/>
    <w:rsid w:val="001646F5"/>
    <w:rsid w:val="00164CAA"/>
    <w:rsid w:val="001664AB"/>
    <w:rsid w:val="001668BB"/>
    <w:rsid w:val="00166ED6"/>
    <w:rsid w:val="00167772"/>
    <w:rsid w:val="001700A4"/>
    <w:rsid w:val="00170600"/>
    <w:rsid w:val="0017525B"/>
    <w:rsid w:val="0017795A"/>
    <w:rsid w:val="001801CC"/>
    <w:rsid w:val="00181583"/>
    <w:rsid w:val="001821E7"/>
    <w:rsid w:val="00182536"/>
    <w:rsid w:val="00183E79"/>
    <w:rsid w:val="001844CC"/>
    <w:rsid w:val="0018471E"/>
    <w:rsid w:val="00185823"/>
    <w:rsid w:val="0018582D"/>
    <w:rsid w:val="00191FE9"/>
    <w:rsid w:val="00193748"/>
    <w:rsid w:val="00193E6F"/>
    <w:rsid w:val="00194C5F"/>
    <w:rsid w:val="00196E4E"/>
    <w:rsid w:val="001972BF"/>
    <w:rsid w:val="001A10BA"/>
    <w:rsid w:val="001A185B"/>
    <w:rsid w:val="001A2EE5"/>
    <w:rsid w:val="001A2FCD"/>
    <w:rsid w:val="001A3B8D"/>
    <w:rsid w:val="001A3D86"/>
    <w:rsid w:val="001A4F9C"/>
    <w:rsid w:val="001A63C6"/>
    <w:rsid w:val="001A75B1"/>
    <w:rsid w:val="001A7984"/>
    <w:rsid w:val="001B1049"/>
    <w:rsid w:val="001B1075"/>
    <w:rsid w:val="001B15BE"/>
    <w:rsid w:val="001B2C09"/>
    <w:rsid w:val="001B3CFA"/>
    <w:rsid w:val="001B4BCE"/>
    <w:rsid w:val="001B5FF2"/>
    <w:rsid w:val="001B7BD8"/>
    <w:rsid w:val="001C0272"/>
    <w:rsid w:val="001C1928"/>
    <w:rsid w:val="001C20FE"/>
    <w:rsid w:val="001C4A36"/>
    <w:rsid w:val="001C5335"/>
    <w:rsid w:val="001C5724"/>
    <w:rsid w:val="001C6E65"/>
    <w:rsid w:val="001C7A27"/>
    <w:rsid w:val="001D0707"/>
    <w:rsid w:val="001D1AFF"/>
    <w:rsid w:val="001D3979"/>
    <w:rsid w:val="001D4499"/>
    <w:rsid w:val="001E19CA"/>
    <w:rsid w:val="001E2C51"/>
    <w:rsid w:val="001E3F72"/>
    <w:rsid w:val="001E5B87"/>
    <w:rsid w:val="001E69D3"/>
    <w:rsid w:val="001F002D"/>
    <w:rsid w:val="001F061E"/>
    <w:rsid w:val="001F1D4C"/>
    <w:rsid w:val="001F27D1"/>
    <w:rsid w:val="001F285F"/>
    <w:rsid w:val="001F3866"/>
    <w:rsid w:val="001F4909"/>
    <w:rsid w:val="001F4A91"/>
    <w:rsid w:val="001F4F62"/>
    <w:rsid w:val="00200551"/>
    <w:rsid w:val="00201182"/>
    <w:rsid w:val="002028FD"/>
    <w:rsid w:val="002036E7"/>
    <w:rsid w:val="00204532"/>
    <w:rsid w:val="00204E3F"/>
    <w:rsid w:val="00207333"/>
    <w:rsid w:val="00207BC8"/>
    <w:rsid w:val="00211437"/>
    <w:rsid w:val="002121EB"/>
    <w:rsid w:val="00212902"/>
    <w:rsid w:val="00214B69"/>
    <w:rsid w:val="00216387"/>
    <w:rsid w:val="002163BD"/>
    <w:rsid w:val="00216C72"/>
    <w:rsid w:val="002209C1"/>
    <w:rsid w:val="00221598"/>
    <w:rsid w:val="00223511"/>
    <w:rsid w:val="00224665"/>
    <w:rsid w:val="002256BD"/>
    <w:rsid w:val="00225727"/>
    <w:rsid w:val="00225822"/>
    <w:rsid w:val="002258E6"/>
    <w:rsid w:val="00225906"/>
    <w:rsid w:val="00226545"/>
    <w:rsid w:val="00226A6F"/>
    <w:rsid w:val="00226AE0"/>
    <w:rsid w:val="0022798D"/>
    <w:rsid w:val="00227E6A"/>
    <w:rsid w:val="00230E12"/>
    <w:rsid w:val="002316BA"/>
    <w:rsid w:val="00231BC9"/>
    <w:rsid w:val="00233802"/>
    <w:rsid w:val="0023429E"/>
    <w:rsid w:val="00235C3C"/>
    <w:rsid w:val="00240CFF"/>
    <w:rsid w:val="00241496"/>
    <w:rsid w:val="00241576"/>
    <w:rsid w:val="00241DD2"/>
    <w:rsid w:val="002429C7"/>
    <w:rsid w:val="00242FE8"/>
    <w:rsid w:val="00243F35"/>
    <w:rsid w:val="00244AA8"/>
    <w:rsid w:val="00245AA6"/>
    <w:rsid w:val="0024676F"/>
    <w:rsid w:val="002509E0"/>
    <w:rsid w:val="00251D10"/>
    <w:rsid w:val="0025217C"/>
    <w:rsid w:val="0025298D"/>
    <w:rsid w:val="00252D45"/>
    <w:rsid w:val="00252FAB"/>
    <w:rsid w:val="00253088"/>
    <w:rsid w:val="002540BD"/>
    <w:rsid w:val="0025726A"/>
    <w:rsid w:val="00257500"/>
    <w:rsid w:val="002611F0"/>
    <w:rsid w:val="002615C7"/>
    <w:rsid w:val="00261CE3"/>
    <w:rsid w:val="0026409E"/>
    <w:rsid w:val="00264257"/>
    <w:rsid w:val="002649A0"/>
    <w:rsid w:val="00266626"/>
    <w:rsid w:val="00266FAE"/>
    <w:rsid w:val="002707C7"/>
    <w:rsid w:val="00271231"/>
    <w:rsid w:val="002724D5"/>
    <w:rsid w:val="00272CE9"/>
    <w:rsid w:val="00272CFA"/>
    <w:rsid w:val="00273B76"/>
    <w:rsid w:val="00275128"/>
    <w:rsid w:val="00275C28"/>
    <w:rsid w:val="002774CC"/>
    <w:rsid w:val="00277DA0"/>
    <w:rsid w:val="00280E5E"/>
    <w:rsid w:val="00280EFC"/>
    <w:rsid w:val="002817CA"/>
    <w:rsid w:val="00281CC4"/>
    <w:rsid w:val="002821D2"/>
    <w:rsid w:val="0028323C"/>
    <w:rsid w:val="00283515"/>
    <w:rsid w:val="00285E29"/>
    <w:rsid w:val="002861C0"/>
    <w:rsid w:val="0028686B"/>
    <w:rsid w:val="00292850"/>
    <w:rsid w:val="002931D8"/>
    <w:rsid w:val="002943C3"/>
    <w:rsid w:val="00294434"/>
    <w:rsid w:val="00294539"/>
    <w:rsid w:val="00295AAE"/>
    <w:rsid w:val="002969A2"/>
    <w:rsid w:val="00297C1E"/>
    <w:rsid w:val="002A13F0"/>
    <w:rsid w:val="002A4FB8"/>
    <w:rsid w:val="002A525A"/>
    <w:rsid w:val="002A77AD"/>
    <w:rsid w:val="002B0033"/>
    <w:rsid w:val="002B3259"/>
    <w:rsid w:val="002B3F21"/>
    <w:rsid w:val="002B43EF"/>
    <w:rsid w:val="002B5C41"/>
    <w:rsid w:val="002B6362"/>
    <w:rsid w:val="002B6850"/>
    <w:rsid w:val="002B6F4C"/>
    <w:rsid w:val="002B7116"/>
    <w:rsid w:val="002C00AD"/>
    <w:rsid w:val="002C178A"/>
    <w:rsid w:val="002C19F7"/>
    <w:rsid w:val="002C1A9D"/>
    <w:rsid w:val="002C1EF6"/>
    <w:rsid w:val="002C3BCD"/>
    <w:rsid w:val="002C4C76"/>
    <w:rsid w:val="002C4F72"/>
    <w:rsid w:val="002C6D05"/>
    <w:rsid w:val="002C727D"/>
    <w:rsid w:val="002C779F"/>
    <w:rsid w:val="002D000F"/>
    <w:rsid w:val="002D11E9"/>
    <w:rsid w:val="002D14C0"/>
    <w:rsid w:val="002D2CFB"/>
    <w:rsid w:val="002D3271"/>
    <w:rsid w:val="002D478D"/>
    <w:rsid w:val="002D5194"/>
    <w:rsid w:val="002D61AB"/>
    <w:rsid w:val="002D6526"/>
    <w:rsid w:val="002D6B88"/>
    <w:rsid w:val="002D6C10"/>
    <w:rsid w:val="002D75A3"/>
    <w:rsid w:val="002D7B7B"/>
    <w:rsid w:val="002E0561"/>
    <w:rsid w:val="002E0B77"/>
    <w:rsid w:val="002E12FF"/>
    <w:rsid w:val="002E2A1C"/>
    <w:rsid w:val="002E585F"/>
    <w:rsid w:val="002E613A"/>
    <w:rsid w:val="002E7483"/>
    <w:rsid w:val="002E75E8"/>
    <w:rsid w:val="002E7E61"/>
    <w:rsid w:val="002F01E9"/>
    <w:rsid w:val="002F153C"/>
    <w:rsid w:val="002F17DE"/>
    <w:rsid w:val="002F26D3"/>
    <w:rsid w:val="002F4BD8"/>
    <w:rsid w:val="002F561C"/>
    <w:rsid w:val="002F5E2A"/>
    <w:rsid w:val="002F77FC"/>
    <w:rsid w:val="002F7E52"/>
    <w:rsid w:val="00300812"/>
    <w:rsid w:val="00300CD4"/>
    <w:rsid w:val="00302ECE"/>
    <w:rsid w:val="00305517"/>
    <w:rsid w:val="00305925"/>
    <w:rsid w:val="0031012C"/>
    <w:rsid w:val="00310FD5"/>
    <w:rsid w:val="003132E9"/>
    <w:rsid w:val="003133C3"/>
    <w:rsid w:val="00314DE4"/>
    <w:rsid w:val="003169AC"/>
    <w:rsid w:val="00317960"/>
    <w:rsid w:val="00317EC8"/>
    <w:rsid w:val="003230A8"/>
    <w:rsid w:val="00323515"/>
    <w:rsid w:val="00323702"/>
    <w:rsid w:val="00323726"/>
    <w:rsid w:val="00323905"/>
    <w:rsid w:val="00324A77"/>
    <w:rsid w:val="00324D33"/>
    <w:rsid w:val="003259ED"/>
    <w:rsid w:val="00326026"/>
    <w:rsid w:val="00326220"/>
    <w:rsid w:val="003262EE"/>
    <w:rsid w:val="00326A84"/>
    <w:rsid w:val="00327AAE"/>
    <w:rsid w:val="003301BE"/>
    <w:rsid w:val="00331CD6"/>
    <w:rsid w:val="00331D1A"/>
    <w:rsid w:val="00332430"/>
    <w:rsid w:val="00332B8C"/>
    <w:rsid w:val="00332DA9"/>
    <w:rsid w:val="00333441"/>
    <w:rsid w:val="00333767"/>
    <w:rsid w:val="00333C32"/>
    <w:rsid w:val="00336C74"/>
    <w:rsid w:val="00337367"/>
    <w:rsid w:val="00337F09"/>
    <w:rsid w:val="00337F5D"/>
    <w:rsid w:val="00341051"/>
    <w:rsid w:val="00341928"/>
    <w:rsid w:val="00341A12"/>
    <w:rsid w:val="00341DE4"/>
    <w:rsid w:val="0034402A"/>
    <w:rsid w:val="003445CF"/>
    <w:rsid w:val="00345718"/>
    <w:rsid w:val="00345795"/>
    <w:rsid w:val="00346AC2"/>
    <w:rsid w:val="00346E84"/>
    <w:rsid w:val="00347B5D"/>
    <w:rsid w:val="00351B60"/>
    <w:rsid w:val="00353CE0"/>
    <w:rsid w:val="00354289"/>
    <w:rsid w:val="0035451F"/>
    <w:rsid w:val="00354FEE"/>
    <w:rsid w:val="00356BCE"/>
    <w:rsid w:val="00357392"/>
    <w:rsid w:val="00357727"/>
    <w:rsid w:val="003578C5"/>
    <w:rsid w:val="003605F3"/>
    <w:rsid w:val="00361514"/>
    <w:rsid w:val="00362054"/>
    <w:rsid w:val="00364B6F"/>
    <w:rsid w:val="00365E96"/>
    <w:rsid w:val="00367881"/>
    <w:rsid w:val="00373B3F"/>
    <w:rsid w:val="00373D5D"/>
    <w:rsid w:val="00374C0A"/>
    <w:rsid w:val="00374CD4"/>
    <w:rsid w:val="00374CD7"/>
    <w:rsid w:val="00375487"/>
    <w:rsid w:val="003771C2"/>
    <w:rsid w:val="00380EA5"/>
    <w:rsid w:val="00381A8E"/>
    <w:rsid w:val="0038231A"/>
    <w:rsid w:val="0038327B"/>
    <w:rsid w:val="00383350"/>
    <w:rsid w:val="00383489"/>
    <w:rsid w:val="00383B68"/>
    <w:rsid w:val="00383D47"/>
    <w:rsid w:val="003850C2"/>
    <w:rsid w:val="00385D3D"/>
    <w:rsid w:val="00386AF9"/>
    <w:rsid w:val="003873C1"/>
    <w:rsid w:val="003873FD"/>
    <w:rsid w:val="00387750"/>
    <w:rsid w:val="003879E6"/>
    <w:rsid w:val="00387E7A"/>
    <w:rsid w:val="003903A0"/>
    <w:rsid w:val="00391158"/>
    <w:rsid w:val="00391D3B"/>
    <w:rsid w:val="003921FB"/>
    <w:rsid w:val="00392360"/>
    <w:rsid w:val="00392C90"/>
    <w:rsid w:val="003941ED"/>
    <w:rsid w:val="003941FA"/>
    <w:rsid w:val="00394616"/>
    <w:rsid w:val="00395BDB"/>
    <w:rsid w:val="00397381"/>
    <w:rsid w:val="003A1CDE"/>
    <w:rsid w:val="003A1DF0"/>
    <w:rsid w:val="003A2125"/>
    <w:rsid w:val="003A4E44"/>
    <w:rsid w:val="003A5544"/>
    <w:rsid w:val="003A5A44"/>
    <w:rsid w:val="003A6CC4"/>
    <w:rsid w:val="003A6D53"/>
    <w:rsid w:val="003A782D"/>
    <w:rsid w:val="003A7D6E"/>
    <w:rsid w:val="003B05C3"/>
    <w:rsid w:val="003B20C5"/>
    <w:rsid w:val="003B586A"/>
    <w:rsid w:val="003B6500"/>
    <w:rsid w:val="003B69E3"/>
    <w:rsid w:val="003B6A1B"/>
    <w:rsid w:val="003C0B3E"/>
    <w:rsid w:val="003C0C2B"/>
    <w:rsid w:val="003C178E"/>
    <w:rsid w:val="003C249E"/>
    <w:rsid w:val="003C4339"/>
    <w:rsid w:val="003C54FC"/>
    <w:rsid w:val="003C5742"/>
    <w:rsid w:val="003C63A5"/>
    <w:rsid w:val="003C6543"/>
    <w:rsid w:val="003C6FD7"/>
    <w:rsid w:val="003C74C3"/>
    <w:rsid w:val="003D0722"/>
    <w:rsid w:val="003D0988"/>
    <w:rsid w:val="003D0CB6"/>
    <w:rsid w:val="003D129D"/>
    <w:rsid w:val="003D12F2"/>
    <w:rsid w:val="003D2912"/>
    <w:rsid w:val="003D4ED9"/>
    <w:rsid w:val="003D5ECE"/>
    <w:rsid w:val="003D6575"/>
    <w:rsid w:val="003E048C"/>
    <w:rsid w:val="003E081D"/>
    <w:rsid w:val="003E0F14"/>
    <w:rsid w:val="003E1269"/>
    <w:rsid w:val="003E54D6"/>
    <w:rsid w:val="003E5A80"/>
    <w:rsid w:val="003E616C"/>
    <w:rsid w:val="003F142A"/>
    <w:rsid w:val="003F3DF0"/>
    <w:rsid w:val="003F3EF2"/>
    <w:rsid w:val="003F4FC0"/>
    <w:rsid w:val="003F4FC3"/>
    <w:rsid w:val="003F6326"/>
    <w:rsid w:val="003F7822"/>
    <w:rsid w:val="003F7907"/>
    <w:rsid w:val="00400CF4"/>
    <w:rsid w:val="00402EBD"/>
    <w:rsid w:val="00403253"/>
    <w:rsid w:val="00403A5E"/>
    <w:rsid w:val="00403F58"/>
    <w:rsid w:val="004062E4"/>
    <w:rsid w:val="00406ED1"/>
    <w:rsid w:val="0041076A"/>
    <w:rsid w:val="00411585"/>
    <w:rsid w:val="00411F64"/>
    <w:rsid w:val="00412036"/>
    <w:rsid w:val="00412B51"/>
    <w:rsid w:val="00414810"/>
    <w:rsid w:val="00414B59"/>
    <w:rsid w:val="00414E19"/>
    <w:rsid w:val="00415E27"/>
    <w:rsid w:val="00417065"/>
    <w:rsid w:val="00417C0D"/>
    <w:rsid w:val="00420521"/>
    <w:rsid w:val="00421ADD"/>
    <w:rsid w:val="00422013"/>
    <w:rsid w:val="004245D4"/>
    <w:rsid w:val="004259E1"/>
    <w:rsid w:val="00425A67"/>
    <w:rsid w:val="00426057"/>
    <w:rsid w:val="00426200"/>
    <w:rsid w:val="00426D18"/>
    <w:rsid w:val="00427CFC"/>
    <w:rsid w:val="00431A5D"/>
    <w:rsid w:val="004325B2"/>
    <w:rsid w:val="00432824"/>
    <w:rsid w:val="00432C54"/>
    <w:rsid w:val="00436E5A"/>
    <w:rsid w:val="004373CC"/>
    <w:rsid w:val="00437540"/>
    <w:rsid w:val="0044109E"/>
    <w:rsid w:val="0044160F"/>
    <w:rsid w:val="00445309"/>
    <w:rsid w:val="004454DB"/>
    <w:rsid w:val="00445DD2"/>
    <w:rsid w:val="0044715C"/>
    <w:rsid w:val="0044787F"/>
    <w:rsid w:val="0044792C"/>
    <w:rsid w:val="00450BE4"/>
    <w:rsid w:val="004514C5"/>
    <w:rsid w:val="00452777"/>
    <w:rsid w:val="0045361E"/>
    <w:rsid w:val="00454D96"/>
    <w:rsid w:val="00455630"/>
    <w:rsid w:val="00456685"/>
    <w:rsid w:val="00456B13"/>
    <w:rsid w:val="00456D5C"/>
    <w:rsid w:val="0045773C"/>
    <w:rsid w:val="004609BC"/>
    <w:rsid w:val="00463C81"/>
    <w:rsid w:val="004662B4"/>
    <w:rsid w:val="00467772"/>
    <w:rsid w:val="00470009"/>
    <w:rsid w:val="0047081E"/>
    <w:rsid w:val="00471FBE"/>
    <w:rsid w:val="00472FA3"/>
    <w:rsid w:val="0047356A"/>
    <w:rsid w:val="00476356"/>
    <w:rsid w:val="0047736E"/>
    <w:rsid w:val="0047789E"/>
    <w:rsid w:val="00480B44"/>
    <w:rsid w:val="0048115D"/>
    <w:rsid w:val="004818C4"/>
    <w:rsid w:val="00481D01"/>
    <w:rsid w:val="00481E2E"/>
    <w:rsid w:val="0048221D"/>
    <w:rsid w:val="00482CD7"/>
    <w:rsid w:val="00482E0F"/>
    <w:rsid w:val="00483BC7"/>
    <w:rsid w:val="004841B9"/>
    <w:rsid w:val="00487AE7"/>
    <w:rsid w:val="00487AF5"/>
    <w:rsid w:val="00490D00"/>
    <w:rsid w:val="00491A17"/>
    <w:rsid w:val="00492F88"/>
    <w:rsid w:val="00493247"/>
    <w:rsid w:val="0049414F"/>
    <w:rsid w:val="00496A44"/>
    <w:rsid w:val="00497DB0"/>
    <w:rsid w:val="004A0B8E"/>
    <w:rsid w:val="004A16C9"/>
    <w:rsid w:val="004A4D60"/>
    <w:rsid w:val="004A514E"/>
    <w:rsid w:val="004A57DF"/>
    <w:rsid w:val="004B06B6"/>
    <w:rsid w:val="004B1333"/>
    <w:rsid w:val="004B37ED"/>
    <w:rsid w:val="004B3E48"/>
    <w:rsid w:val="004B46E6"/>
    <w:rsid w:val="004B4B9F"/>
    <w:rsid w:val="004B4EEA"/>
    <w:rsid w:val="004B537D"/>
    <w:rsid w:val="004B747A"/>
    <w:rsid w:val="004C024D"/>
    <w:rsid w:val="004C1288"/>
    <w:rsid w:val="004C33C3"/>
    <w:rsid w:val="004C3B52"/>
    <w:rsid w:val="004C4947"/>
    <w:rsid w:val="004C4B37"/>
    <w:rsid w:val="004C4C17"/>
    <w:rsid w:val="004C58FE"/>
    <w:rsid w:val="004C5AE7"/>
    <w:rsid w:val="004C6FEB"/>
    <w:rsid w:val="004D0D68"/>
    <w:rsid w:val="004D12FC"/>
    <w:rsid w:val="004D1AB2"/>
    <w:rsid w:val="004D3B37"/>
    <w:rsid w:val="004D458D"/>
    <w:rsid w:val="004D6267"/>
    <w:rsid w:val="004D7E55"/>
    <w:rsid w:val="004E08DD"/>
    <w:rsid w:val="004E0CC3"/>
    <w:rsid w:val="004E23F1"/>
    <w:rsid w:val="004E294E"/>
    <w:rsid w:val="004E2A2B"/>
    <w:rsid w:val="004E3503"/>
    <w:rsid w:val="004E3D2F"/>
    <w:rsid w:val="004E4B98"/>
    <w:rsid w:val="004E607E"/>
    <w:rsid w:val="004E7ACB"/>
    <w:rsid w:val="004F0450"/>
    <w:rsid w:val="004F1B6F"/>
    <w:rsid w:val="004F2C41"/>
    <w:rsid w:val="004F3B4F"/>
    <w:rsid w:val="004F444C"/>
    <w:rsid w:val="004F45BE"/>
    <w:rsid w:val="004F61C8"/>
    <w:rsid w:val="00501680"/>
    <w:rsid w:val="00503237"/>
    <w:rsid w:val="00503934"/>
    <w:rsid w:val="005039F0"/>
    <w:rsid w:val="00503A7B"/>
    <w:rsid w:val="00504588"/>
    <w:rsid w:val="005054C8"/>
    <w:rsid w:val="00505AB0"/>
    <w:rsid w:val="00505F4E"/>
    <w:rsid w:val="005066B4"/>
    <w:rsid w:val="005068E8"/>
    <w:rsid w:val="00506C9A"/>
    <w:rsid w:val="00507030"/>
    <w:rsid w:val="00510831"/>
    <w:rsid w:val="00510979"/>
    <w:rsid w:val="00513D91"/>
    <w:rsid w:val="005147B3"/>
    <w:rsid w:val="00515238"/>
    <w:rsid w:val="005155EE"/>
    <w:rsid w:val="0051708D"/>
    <w:rsid w:val="00517C5A"/>
    <w:rsid w:val="00517CE6"/>
    <w:rsid w:val="005203DA"/>
    <w:rsid w:val="00522987"/>
    <w:rsid w:val="00522B8C"/>
    <w:rsid w:val="00522EA0"/>
    <w:rsid w:val="005232F4"/>
    <w:rsid w:val="005259C9"/>
    <w:rsid w:val="00526DB4"/>
    <w:rsid w:val="0052758A"/>
    <w:rsid w:val="005279B2"/>
    <w:rsid w:val="00530198"/>
    <w:rsid w:val="00530552"/>
    <w:rsid w:val="00530766"/>
    <w:rsid w:val="005315CB"/>
    <w:rsid w:val="00531A4E"/>
    <w:rsid w:val="00531B4E"/>
    <w:rsid w:val="005350C9"/>
    <w:rsid w:val="0053628F"/>
    <w:rsid w:val="005366AE"/>
    <w:rsid w:val="00536ED7"/>
    <w:rsid w:val="00537796"/>
    <w:rsid w:val="0053790F"/>
    <w:rsid w:val="00537944"/>
    <w:rsid w:val="0054038E"/>
    <w:rsid w:val="00540447"/>
    <w:rsid w:val="00540754"/>
    <w:rsid w:val="00544A2D"/>
    <w:rsid w:val="00545E6B"/>
    <w:rsid w:val="005463F2"/>
    <w:rsid w:val="00546E66"/>
    <w:rsid w:val="00546F37"/>
    <w:rsid w:val="00550517"/>
    <w:rsid w:val="005506B4"/>
    <w:rsid w:val="0055186A"/>
    <w:rsid w:val="005523C9"/>
    <w:rsid w:val="005525B3"/>
    <w:rsid w:val="005537DD"/>
    <w:rsid w:val="00553DCE"/>
    <w:rsid w:val="00554B77"/>
    <w:rsid w:val="00557B9F"/>
    <w:rsid w:val="0056077E"/>
    <w:rsid w:val="00562D27"/>
    <w:rsid w:val="005633E9"/>
    <w:rsid w:val="0057038C"/>
    <w:rsid w:val="00571B8D"/>
    <w:rsid w:val="00573C2B"/>
    <w:rsid w:val="00574702"/>
    <w:rsid w:val="0057608A"/>
    <w:rsid w:val="0057614C"/>
    <w:rsid w:val="00577353"/>
    <w:rsid w:val="00577EA7"/>
    <w:rsid w:val="0058073F"/>
    <w:rsid w:val="00580B5E"/>
    <w:rsid w:val="0058174E"/>
    <w:rsid w:val="00581F6A"/>
    <w:rsid w:val="005821DA"/>
    <w:rsid w:val="00583F90"/>
    <w:rsid w:val="00584DEE"/>
    <w:rsid w:val="005858B8"/>
    <w:rsid w:val="00585AEB"/>
    <w:rsid w:val="0058778C"/>
    <w:rsid w:val="00587991"/>
    <w:rsid w:val="00587FE6"/>
    <w:rsid w:val="005924FA"/>
    <w:rsid w:val="005931B8"/>
    <w:rsid w:val="005934CE"/>
    <w:rsid w:val="00593C65"/>
    <w:rsid w:val="0059440C"/>
    <w:rsid w:val="00595439"/>
    <w:rsid w:val="00595DA3"/>
    <w:rsid w:val="00596B10"/>
    <w:rsid w:val="005976BE"/>
    <w:rsid w:val="0059775C"/>
    <w:rsid w:val="005A1300"/>
    <w:rsid w:val="005A1596"/>
    <w:rsid w:val="005A194D"/>
    <w:rsid w:val="005A278E"/>
    <w:rsid w:val="005A2D78"/>
    <w:rsid w:val="005A3E65"/>
    <w:rsid w:val="005A4848"/>
    <w:rsid w:val="005A640A"/>
    <w:rsid w:val="005A7E2C"/>
    <w:rsid w:val="005B023B"/>
    <w:rsid w:val="005B0817"/>
    <w:rsid w:val="005B13CB"/>
    <w:rsid w:val="005B219D"/>
    <w:rsid w:val="005B2A62"/>
    <w:rsid w:val="005B2CC8"/>
    <w:rsid w:val="005B343C"/>
    <w:rsid w:val="005B3DE2"/>
    <w:rsid w:val="005B518C"/>
    <w:rsid w:val="005B5471"/>
    <w:rsid w:val="005B6326"/>
    <w:rsid w:val="005B79D5"/>
    <w:rsid w:val="005B7EA0"/>
    <w:rsid w:val="005C007A"/>
    <w:rsid w:val="005C1038"/>
    <w:rsid w:val="005C3000"/>
    <w:rsid w:val="005C665C"/>
    <w:rsid w:val="005C7462"/>
    <w:rsid w:val="005D1009"/>
    <w:rsid w:val="005D1440"/>
    <w:rsid w:val="005D1EC3"/>
    <w:rsid w:val="005D3ABA"/>
    <w:rsid w:val="005D4894"/>
    <w:rsid w:val="005D575D"/>
    <w:rsid w:val="005D6FF5"/>
    <w:rsid w:val="005E1CAF"/>
    <w:rsid w:val="005E1FCB"/>
    <w:rsid w:val="005E213B"/>
    <w:rsid w:val="005E3944"/>
    <w:rsid w:val="005E506F"/>
    <w:rsid w:val="005E5686"/>
    <w:rsid w:val="005E585E"/>
    <w:rsid w:val="005E60BF"/>
    <w:rsid w:val="005E6277"/>
    <w:rsid w:val="005E6504"/>
    <w:rsid w:val="005E6B1A"/>
    <w:rsid w:val="005E6D79"/>
    <w:rsid w:val="005F184B"/>
    <w:rsid w:val="005F1A4F"/>
    <w:rsid w:val="005F2191"/>
    <w:rsid w:val="005F3D59"/>
    <w:rsid w:val="005F3E93"/>
    <w:rsid w:val="005F482C"/>
    <w:rsid w:val="005F4899"/>
    <w:rsid w:val="005F4914"/>
    <w:rsid w:val="005F4ECE"/>
    <w:rsid w:val="005F51E7"/>
    <w:rsid w:val="005F575B"/>
    <w:rsid w:val="005F5F96"/>
    <w:rsid w:val="005F79F7"/>
    <w:rsid w:val="0060032B"/>
    <w:rsid w:val="0060037C"/>
    <w:rsid w:val="00600DBB"/>
    <w:rsid w:val="00601E78"/>
    <w:rsid w:val="00607A88"/>
    <w:rsid w:val="0061118C"/>
    <w:rsid w:val="00611B98"/>
    <w:rsid w:val="006127B9"/>
    <w:rsid w:val="00614410"/>
    <w:rsid w:val="00614A00"/>
    <w:rsid w:val="00615171"/>
    <w:rsid w:val="006152C0"/>
    <w:rsid w:val="006179E7"/>
    <w:rsid w:val="00617B47"/>
    <w:rsid w:val="00620C15"/>
    <w:rsid w:val="00621165"/>
    <w:rsid w:val="0062170D"/>
    <w:rsid w:val="006221E8"/>
    <w:rsid w:val="00622A8B"/>
    <w:rsid w:val="00623562"/>
    <w:rsid w:val="00623B8D"/>
    <w:rsid w:val="00623CFC"/>
    <w:rsid w:val="0062401F"/>
    <w:rsid w:val="00624EFE"/>
    <w:rsid w:val="006257E4"/>
    <w:rsid w:val="006263A1"/>
    <w:rsid w:val="00626B35"/>
    <w:rsid w:val="00630398"/>
    <w:rsid w:val="00630A01"/>
    <w:rsid w:val="00630F32"/>
    <w:rsid w:val="00633687"/>
    <w:rsid w:val="00634266"/>
    <w:rsid w:val="006343B1"/>
    <w:rsid w:val="00634C35"/>
    <w:rsid w:val="00634DDA"/>
    <w:rsid w:val="006358D1"/>
    <w:rsid w:val="00636268"/>
    <w:rsid w:val="006371F5"/>
    <w:rsid w:val="00637550"/>
    <w:rsid w:val="00637EC1"/>
    <w:rsid w:val="00641C04"/>
    <w:rsid w:val="00643A00"/>
    <w:rsid w:val="00645CDA"/>
    <w:rsid w:val="00645D59"/>
    <w:rsid w:val="006461C2"/>
    <w:rsid w:val="006469C6"/>
    <w:rsid w:val="00646B0E"/>
    <w:rsid w:val="0064768F"/>
    <w:rsid w:val="00653132"/>
    <w:rsid w:val="00653E81"/>
    <w:rsid w:val="006542AD"/>
    <w:rsid w:val="0065457B"/>
    <w:rsid w:val="006551AE"/>
    <w:rsid w:val="006552DD"/>
    <w:rsid w:val="00655D57"/>
    <w:rsid w:val="00656B63"/>
    <w:rsid w:val="00657669"/>
    <w:rsid w:val="006623A9"/>
    <w:rsid w:val="006656FA"/>
    <w:rsid w:val="0066627B"/>
    <w:rsid w:val="00666EBD"/>
    <w:rsid w:val="00667B0E"/>
    <w:rsid w:val="00672980"/>
    <w:rsid w:val="006749A4"/>
    <w:rsid w:val="00676519"/>
    <w:rsid w:val="0067722B"/>
    <w:rsid w:val="0067777F"/>
    <w:rsid w:val="006777D4"/>
    <w:rsid w:val="006804EA"/>
    <w:rsid w:val="006808A6"/>
    <w:rsid w:val="00683522"/>
    <w:rsid w:val="00684422"/>
    <w:rsid w:val="00684921"/>
    <w:rsid w:val="00686427"/>
    <w:rsid w:val="00686FE0"/>
    <w:rsid w:val="006911C6"/>
    <w:rsid w:val="006924D5"/>
    <w:rsid w:val="006925F6"/>
    <w:rsid w:val="00693969"/>
    <w:rsid w:val="00693C46"/>
    <w:rsid w:val="006942E3"/>
    <w:rsid w:val="00694A19"/>
    <w:rsid w:val="006957EA"/>
    <w:rsid w:val="00695917"/>
    <w:rsid w:val="00695F11"/>
    <w:rsid w:val="00697605"/>
    <w:rsid w:val="00697D4C"/>
    <w:rsid w:val="00697D51"/>
    <w:rsid w:val="00697DF6"/>
    <w:rsid w:val="006A2856"/>
    <w:rsid w:val="006A433D"/>
    <w:rsid w:val="006A4544"/>
    <w:rsid w:val="006A4A13"/>
    <w:rsid w:val="006A4DA9"/>
    <w:rsid w:val="006A538B"/>
    <w:rsid w:val="006A6CE2"/>
    <w:rsid w:val="006B043B"/>
    <w:rsid w:val="006B3554"/>
    <w:rsid w:val="006B3577"/>
    <w:rsid w:val="006B4253"/>
    <w:rsid w:val="006C071D"/>
    <w:rsid w:val="006C0D10"/>
    <w:rsid w:val="006C134D"/>
    <w:rsid w:val="006C3D0A"/>
    <w:rsid w:val="006C41E3"/>
    <w:rsid w:val="006C43CA"/>
    <w:rsid w:val="006C4A0C"/>
    <w:rsid w:val="006C7FCE"/>
    <w:rsid w:val="006D059E"/>
    <w:rsid w:val="006D07C5"/>
    <w:rsid w:val="006D08CB"/>
    <w:rsid w:val="006D1C9E"/>
    <w:rsid w:val="006D248C"/>
    <w:rsid w:val="006D2920"/>
    <w:rsid w:val="006D3321"/>
    <w:rsid w:val="006D4D0A"/>
    <w:rsid w:val="006D6737"/>
    <w:rsid w:val="006E0FE5"/>
    <w:rsid w:val="006E4AA8"/>
    <w:rsid w:val="006E5069"/>
    <w:rsid w:val="006E67A1"/>
    <w:rsid w:val="006E77C8"/>
    <w:rsid w:val="006F0E8D"/>
    <w:rsid w:val="006F2772"/>
    <w:rsid w:val="006F30F5"/>
    <w:rsid w:val="006F31CE"/>
    <w:rsid w:val="006F34DD"/>
    <w:rsid w:val="006F3886"/>
    <w:rsid w:val="006F3942"/>
    <w:rsid w:val="006F47E5"/>
    <w:rsid w:val="006F5787"/>
    <w:rsid w:val="006F5DF5"/>
    <w:rsid w:val="006F66CB"/>
    <w:rsid w:val="006F6B8E"/>
    <w:rsid w:val="006F74BD"/>
    <w:rsid w:val="006F7C17"/>
    <w:rsid w:val="007006BD"/>
    <w:rsid w:val="007023AF"/>
    <w:rsid w:val="00702E4A"/>
    <w:rsid w:val="007032A9"/>
    <w:rsid w:val="00704821"/>
    <w:rsid w:val="00705782"/>
    <w:rsid w:val="0070593B"/>
    <w:rsid w:val="00711501"/>
    <w:rsid w:val="00711B45"/>
    <w:rsid w:val="00716004"/>
    <w:rsid w:val="00716128"/>
    <w:rsid w:val="00716E71"/>
    <w:rsid w:val="0072035C"/>
    <w:rsid w:val="00722126"/>
    <w:rsid w:val="007244BA"/>
    <w:rsid w:val="007246F3"/>
    <w:rsid w:val="007251C9"/>
    <w:rsid w:val="00725471"/>
    <w:rsid w:val="00726EFF"/>
    <w:rsid w:val="00730840"/>
    <w:rsid w:val="0073086D"/>
    <w:rsid w:val="0073135B"/>
    <w:rsid w:val="007329A5"/>
    <w:rsid w:val="00732F4C"/>
    <w:rsid w:val="00732FED"/>
    <w:rsid w:val="007335DC"/>
    <w:rsid w:val="00733F92"/>
    <w:rsid w:val="007357A1"/>
    <w:rsid w:val="00735B3B"/>
    <w:rsid w:val="00740930"/>
    <w:rsid w:val="007411DD"/>
    <w:rsid w:val="00742AA9"/>
    <w:rsid w:val="007445D2"/>
    <w:rsid w:val="00745056"/>
    <w:rsid w:val="00746A19"/>
    <w:rsid w:val="00746C91"/>
    <w:rsid w:val="00750FD9"/>
    <w:rsid w:val="00751ABA"/>
    <w:rsid w:val="00751DB3"/>
    <w:rsid w:val="00751FFD"/>
    <w:rsid w:val="00755EB5"/>
    <w:rsid w:val="00761828"/>
    <w:rsid w:val="00761918"/>
    <w:rsid w:val="00761D59"/>
    <w:rsid w:val="00761EBA"/>
    <w:rsid w:val="0076242A"/>
    <w:rsid w:val="00763057"/>
    <w:rsid w:val="00763D50"/>
    <w:rsid w:val="00764977"/>
    <w:rsid w:val="007658A7"/>
    <w:rsid w:val="00767723"/>
    <w:rsid w:val="00767889"/>
    <w:rsid w:val="00767F18"/>
    <w:rsid w:val="00767FB6"/>
    <w:rsid w:val="007700D7"/>
    <w:rsid w:val="007706BD"/>
    <w:rsid w:val="007710E9"/>
    <w:rsid w:val="00771202"/>
    <w:rsid w:val="007719B4"/>
    <w:rsid w:val="007733F5"/>
    <w:rsid w:val="00774123"/>
    <w:rsid w:val="007756BE"/>
    <w:rsid w:val="00776D88"/>
    <w:rsid w:val="007807C6"/>
    <w:rsid w:val="00782E65"/>
    <w:rsid w:val="0078436C"/>
    <w:rsid w:val="00787479"/>
    <w:rsid w:val="007874EA"/>
    <w:rsid w:val="00787A6A"/>
    <w:rsid w:val="00793674"/>
    <w:rsid w:val="00793FBE"/>
    <w:rsid w:val="00794CA7"/>
    <w:rsid w:val="007967DB"/>
    <w:rsid w:val="007968B7"/>
    <w:rsid w:val="0079763A"/>
    <w:rsid w:val="007A031D"/>
    <w:rsid w:val="007A40EB"/>
    <w:rsid w:val="007A4782"/>
    <w:rsid w:val="007A6741"/>
    <w:rsid w:val="007A7084"/>
    <w:rsid w:val="007A787C"/>
    <w:rsid w:val="007A7C99"/>
    <w:rsid w:val="007B045A"/>
    <w:rsid w:val="007B19DC"/>
    <w:rsid w:val="007B1D44"/>
    <w:rsid w:val="007B1F78"/>
    <w:rsid w:val="007B2054"/>
    <w:rsid w:val="007B2F07"/>
    <w:rsid w:val="007B3DFF"/>
    <w:rsid w:val="007B455B"/>
    <w:rsid w:val="007B50D9"/>
    <w:rsid w:val="007B5E44"/>
    <w:rsid w:val="007B7BC6"/>
    <w:rsid w:val="007C0976"/>
    <w:rsid w:val="007C4C45"/>
    <w:rsid w:val="007C505A"/>
    <w:rsid w:val="007C5283"/>
    <w:rsid w:val="007C583F"/>
    <w:rsid w:val="007C58E8"/>
    <w:rsid w:val="007C6739"/>
    <w:rsid w:val="007C7912"/>
    <w:rsid w:val="007C7A21"/>
    <w:rsid w:val="007D0259"/>
    <w:rsid w:val="007D028E"/>
    <w:rsid w:val="007D300C"/>
    <w:rsid w:val="007D42A8"/>
    <w:rsid w:val="007D4968"/>
    <w:rsid w:val="007D5112"/>
    <w:rsid w:val="007D553C"/>
    <w:rsid w:val="007D598B"/>
    <w:rsid w:val="007D5A6D"/>
    <w:rsid w:val="007D6192"/>
    <w:rsid w:val="007D6351"/>
    <w:rsid w:val="007E010D"/>
    <w:rsid w:val="007E33A4"/>
    <w:rsid w:val="007E502A"/>
    <w:rsid w:val="007E76A5"/>
    <w:rsid w:val="007F064F"/>
    <w:rsid w:val="007F1145"/>
    <w:rsid w:val="007F1568"/>
    <w:rsid w:val="007F1CB7"/>
    <w:rsid w:val="007F240F"/>
    <w:rsid w:val="007F40A6"/>
    <w:rsid w:val="007F41C5"/>
    <w:rsid w:val="007F4CB2"/>
    <w:rsid w:val="007F6910"/>
    <w:rsid w:val="007F6A40"/>
    <w:rsid w:val="007F6F63"/>
    <w:rsid w:val="007F72C6"/>
    <w:rsid w:val="00800DE4"/>
    <w:rsid w:val="008019B9"/>
    <w:rsid w:val="008020F6"/>
    <w:rsid w:val="00802885"/>
    <w:rsid w:val="00802F3C"/>
    <w:rsid w:val="008039E7"/>
    <w:rsid w:val="00803BED"/>
    <w:rsid w:val="00804C62"/>
    <w:rsid w:val="00805B3A"/>
    <w:rsid w:val="008061D2"/>
    <w:rsid w:val="00807267"/>
    <w:rsid w:val="00810CE4"/>
    <w:rsid w:val="00810D96"/>
    <w:rsid w:val="00812D22"/>
    <w:rsid w:val="0081304B"/>
    <w:rsid w:val="008141BB"/>
    <w:rsid w:val="00814BC7"/>
    <w:rsid w:val="00815E75"/>
    <w:rsid w:val="00816840"/>
    <w:rsid w:val="008176CF"/>
    <w:rsid w:val="008219C7"/>
    <w:rsid w:val="00821F24"/>
    <w:rsid w:val="00823351"/>
    <w:rsid w:val="008243A3"/>
    <w:rsid w:val="00824DD2"/>
    <w:rsid w:val="00824E07"/>
    <w:rsid w:val="008262C1"/>
    <w:rsid w:val="008267A2"/>
    <w:rsid w:val="00826CA6"/>
    <w:rsid w:val="0082709B"/>
    <w:rsid w:val="008304BB"/>
    <w:rsid w:val="008316B0"/>
    <w:rsid w:val="00831F40"/>
    <w:rsid w:val="00832BAB"/>
    <w:rsid w:val="00833DA1"/>
    <w:rsid w:val="00835C5B"/>
    <w:rsid w:val="00836353"/>
    <w:rsid w:val="00836B80"/>
    <w:rsid w:val="00836D68"/>
    <w:rsid w:val="0084181B"/>
    <w:rsid w:val="00841C50"/>
    <w:rsid w:val="0084350C"/>
    <w:rsid w:val="008442D5"/>
    <w:rsid w:val="00845331"/>
    <w:rsid w:val="0085318B"/>
    <w:rsid w:val="00853192"/>
    <w:rsid w:val="008545EF"/>
    <w:rsid w:val="00855D02"/>
    <w:rsid w:val="008560E8"/>
    <w:rsid w:val="008600B6"/>
    <w:rsid w:val="00862073"/>
    <w:rsid w:val="00862AB6"/>
    <w:rsid w:val="00862D70"/>
    <w:rsid w:val="00863E01"/>
    <w:rsid w:val="00866149"/>
    <w:rsid w:val="0087005B"/>
    <w:rsid w:val="0087431C"/>
    <w:rsid w:val="008749BE"/>
    <w:rsid w:val="0087515B"/>
    <w:rsid w:val="00881AB5"/>
    <w:rsid w:val="008822FA"/>
    <w:rsid w:val="00885918"/>
    <w:rsid w:val="00886DF3"/>
    <w:rsid w:val="00887426"/>
    <w:rsid w:val="008879FA"/>
    <w:rsid w:val="008920F7"/>
    <w:rsid w:val="00895020"/>
    <w:rsid w:val="00895083"/>
    <w:rsid w:val="0089586E"/>
    <w:rsid w:val="00895D6D"/>
    <w:rsid w:val="008A0533"/>
    <w:rsid w:val="008A395E"/>
    <w:rsid w:val="008A3994"/>
    <w:rsid w:val="008A43DE"/>
    <w:rsid w:val="008A4850"/>
    <w:rsid w:val="008A517D"/>
    <w:rsid w:val="008A5A67"/>
    <w:rsid w:val="008B0404"/>
    <w:rsid w:val="008B1965"/>
    <w:rsid w:val="008B20E9"/>
    <w:rsid w:val="008B412C"/>
    <w:rsid w:val="008B42CE"/>
    <w:rsid w:val="008B55E2"/>
    <w:rsid w:val="008B75FE"/>
    <w:rsid w:val="008C00DF"/>
    <w:rsid w:val="008C00EE"/>
    <w:rsid w:val="008C233F"/>
    <w:rsid w:val="008C2806"/>
    <w:rsid w:val="008C438A"/>
    <w:rsid w:val="008C57A9"/>
    <w:rsid w:val="008C5DA5"/>
    <w:rsid w:val="008D0322"/>
    <w:rsid w:val="008D239A"/>
    <w:rsid w:val="008E15D7"/>
    <w:rsid w:val="008E1669"/>
    <w:rsid w:val="008E307C"/>
    <w:rsid w:val="008E3DB9"/>
    <w:rsid w:val="008E4AFB"/>
    <w:rsid w:val="008E5936"/>
    <w:rsid w:val="008E5E62"/>
    <w:rsid w:val="008F0904"/>
    <w:rsid w:val="008F16A9"/>
    <w:rsid w:val="008F2638"/>
    <w:rsid w:val="008F2CDF"/>
    <w:rsid w:val="008F3841"/>
    <w:rsid w:val="008F595A"/>
    <w:rsid w:val="008F673F"/>
    <w:rsid w:val="008F7977"/>
    <w:rsid w:val="009004AA"/>
    <w:rsid w:val="00900C56"/>
    <w:rsid w:val="00901D87"/>
    <w:rsid w:val="00902D12"/>
    <w:rsid w:val="00903572"/>
    <w:rsid w:val="00903692"/>
    <w:rsid w:val="00904B40"/>
    <w:rsid w:val="0090567E"/>
    <w:rsid w:val="009057BE"/>
    <w:rsid w:val="00905EEF"/>
    <w:rsid w:val="00906883"/>
    <w:rsid w:val="0091193F"/>
    <w:rsid w:val="00912C4C"/>
    <w:rsid w:val="00912D80"/>
    <w:rsid w:val="00915072"/>
    <w:rsid w:val="009161FA"/>
    <w:rsid w:val="0091653B"/>
    <w:rsid w:val="00916580"/>
    <w:rsid w:val="009171F3"/>
    <w:rsid w:val="00917AED"/>
    <w:rsid w:val="00917BAD"/>
    <w:rsid w:val="00920673"/>
    <w:rsid w:val="00921198"/>
    <w:rsid w:val="0092186A"/>
    <w:rsid w:val="0092315E"/>
    <w:rsid w:val="009237B3"/>
    <w:rsid w:val="0092472C"/>
    <w:rsid w:val="00924FA5"/>
    <w:rsid w:val="0092554F"/>
    <w:rsid w:val="00926523"/>
    <w:rsid w:val="00930B3A"/>
    <w:rsid w:val="00931B5E"/>
    <w:rsid w:val="00934270"/>
    <w:rsid w:val="009344DC"/>
    <w:rsid w:val="00935C99"/>
    <w:rsid w:val="0093666D"/>
    <w:rsid w:val="00937851"/>
    <w:rsid w:val="0094025E"/>
    <w:rsid w:val="0094157C"/>
    <w:rsid w:val="009415B7"/>
    <w:rsid w:val="009415C1"/>
    <w:rsid w:val="00942EAC"/>
    <w:rsid w:val="00943E65"/>
    <w:rsid w:val="0094496F"/>
    <w:rsid w:val="00945668"/>
    <w:rsid w:val="00950CEB"/>
    <w:rsid w:val="00951A06"/>
    <w:rsid w:val="00952C95"/>
    <w:rsid w:val="00952EC6"/>
    <w:rsid w:val="00953AD2"/>
    <w:rsid w:val="009556A3"/>
    <w:rsid w:val="00955B30"/>
    <w:rsid w:val="00955C40"/>
    <w:rsid w:val="009565EB"/>
    <w:rsid w:val="00957397"/>
    <w:rsid w:val="00957FE9"/>
    <w:rsid w:val="009603BF"/>
    <w:rsid w:val="00960976"/>
    <w:rsid w:val="00960B07"/>
    <w:rsid w:val="0096541C"/>
    <w:rsid w:val="009657CD"/>
    <w:rsid w:val="00965C70"/>
    <w:rsid w:val="00965DAF"/>
    <w:rsid w:val="0096699B"/>
    <w:rsid w:val="0096764A"/>
    <w:rsid w:val="009704C6"/>
    <w:rsid w:val="00970B38"/>
    <w:rsid w:val="0097119C"/>
    <w:rsid w:val="009717BF"/>
    <w:rsid w:val="009719AF"/>
    <w:rsid w:val="00980461"/>
    <w:rsid w:val="00980B5C"/>
    <w:rsid w:val="0098157E"/>
    <w:rsid w:val="00981B47"/>
    <w:rsid w:val="009824DF"/>
    <w:rsid w:val="00982C9B"/>
    <w:rsid w:val="00984A44"/>
    <w:rsid w:val="009854C1"/>
    <w:rsid w:val="00986C49"/>
    <w:rsid w:val="009906CA"/>
    <w:rsid w:val="00991D48"/>
    <w:rsid w:val="0099396D"/>
    <w:rsid w:val="00995827"/>
    <w:rsid w:val="009A074A"/>
    <w:rsid w:val="009A1E6F"/>
    <w:rsid w:val="009A36D9"/>
    <w:rsid w:val="009A4A7C"/>
    <w:rsid w:val="009A589C"/>
    <w:rsid w:val="009A745C"/>
    <w:rsid w:val="009A7724"/>
    <w:rsid w:val="009A78FA"/>
    <w:rsid w:val="009A7CCA"/>
    <w:rsid w:val="009B10E3"/>
    <w:rsid w:val="009B1E9E"/>
    <w:rsid w:val="009B2622"/>
    <w:rsid w:val="009B2AC5"/>
    <w:rsid w:val="009B3445"/>
    <w:rsid w:val="009B42D6"/>
    <w:rsid w:val="009B4725"/>
    <w:rsid w:val="009B4BA6"/>
    <w:rsid w:val="009B4C7C"/>
    <w:rsid w:val="009B5782"/>
    <w:rsid w:val="009B64AF"/>
    <w:rsid w:val="009B6941"/>
    <w:rsid w:val="009B7907"/>
    <w:rsid w:val="009C0815"/>
    <w:rsid w:val="009C3593"/>
    <w:rsid w:val="009C4C17"/>
    <w:rsid w:val="009C60D1"/>
    <w:rsid w:val="009C62BB"/>
    <w:rsid w:val="009C65CB"/>
    <w:rsid w:val="009C672F"/>
    <w:rsid w:val="009D130F"/>
    <w:rsid w:val="009D1FB9"/>
    <w:rsid w:val="009D3330"/>
    <w:rsid w:val="009D5045"/>
    <w:rsid w:val="009D67C5"/>
    <w:rsid w:val="009D6F74"/>
    <w:rsid w:val="009D771B"/>
    <w:rsid w:val="009D78DD"/>
    <w:rsid w:val="009E03E5"/>
    <w:rsid w:val="009E208B"/>
    <w:rsid w:val="009E2094"/>
    <w:rsid w:val="009E231A"/>
    <w:rsid w:val="009E253F"/>
    <w:rsid w:val="009E4CB1"/>
    <w:rsid w:val="009E62D3"/>
    <w:rsid w:val="009E64F2"/>
    <w:rsid w:val="009E7362"/>
    <w:rsid w:val="009F061D"/>
    <w:rsid w:val="009F143A"/>
    <w:rsid w:val="009F2056"/>
    <w:rsid w:val="009F26F2"/>
    <w:rsid w:val="009F2B1A"/>
    <w:rsid w:val="009F4DAD"/>
    <w:rsid w:val="009F6755"/>
    <w:rsid w:val="009F6888"/>
    <w:rsid w:val="00A00A42"/>
    <w:rsid w:val="00A00FBB"/>
    <w:rsid w:val="00A0207C"/>
    <w:rsid w:val="00A02104"/>
    <w:rsid w:val="00A0297B"/>
    <w:rsid w:val="00A04348"/>
    <w:rsid w:val="00A045DC"/>
    <w:rsid w:val="00A04E7D"/>
    <w:rsid w:val="00A05C0E"/>
    <w:rsid w:val="00A05EAB"/>
    <w:rsid w:val="00A0786D"/>
    <w:rsid w:val="00A10096"/>
    <w:rsid w:val="00A10A82"/>
    <w:rsid w:val="00A119F1"/>
    <w:rsid w:val="00A121DE"/>
    <w:rsid w:val="00A12797"/>
    <w:rsid w:val="00A145E3"/>
    <w:rsid w:val="00A14EA4"/>
    <w:rsid w:val="00A16A62"/>
    <w:rsid w:val="00A17E30"/>
    <w:rsid w:val="00A20DB7"/>
    <w:rsid w:val="00A21397"/>
    <w:rsid w:val="00A233F6"/>
    <w:rsid w:val="00A23634"/>
    <w:rsid w:val="00A237A2"/>
    <w:rsid w:val="00A23FB4"/>
    <w:rsid w:val="00A2445B"/>
    <w:rsid w:val="00A261B1"/>
    <w:rsid w:val="00A27142"/>
    <w:rsid w:val="00A30771"/>
    <w:rsid w:val="00A33698"/>
    <w:rsid w:val="00A33711"/>
    <w:rsid w:val="00A33A79"/>
    <w:rsid w:val="00A341A7"/>
    <w:rsid w:val="00A34326"/>
    <w:rsid w:val="00A346EF"/>
    <w:rsid w:val="00A36CA4"/>
    <w:rsid w:val="00A3741F"/>
    <w:rsid w:val="00A41260"/>
    <w:rsid w:val="00A41942"/>
    <w:rsid w:val="00A4195E"/>
    <w:rsid w:val="00A41E62"/>
    <w:rsid w:val="00A42707"/>
    <w:rsid w:val="00A42B96"/>
    <w:rsid w:val="00A42F81"/>
    <w:rsid w:val="00A431A5"/>
    <w:rsid w:val="00A43E6E"/>
    <w:rsid w:val="00A44B44"/>
    <w:rsid w:val="00A44CB5"/>
    <w:rsid w:val="00A44DCA"/>
    <w:rsid w:val="00A45398"/>
    <w:rsid w:val="00A45A19"/>
    <w:rsid w:val="00A4741C"/>
    <w:rsid w:val="00A474C2"/>
    <w:rsid w:val="00A47AEF"/>
    <w:rsid w:val="00A51A9E"/>
    <w:rsid w:val="00A52833"/>
    <w:rsid w:val="00A53AE7"/>
    <w:rsid w:val="00A576BE"/>
    <w:rsid w:val="00A57A47"/>
    <w:rsid w:val="00A60482"/>
    <w:rsid w:val="00A61202"/>
    <w:rsid w:val="00A62BA6"/>
    <w:rsid w:val="00A6326C"/>
    <w:rsid w:val="00A66AA2"/>
    <w:rsid w:val="00A66E97"/>
    <w:rsid w:val="00A67376"/>
    <w:rsid w:val="00A7055E"/>
    <w:rsid w:val="00A70BC4"/>
    <w:rsid w:val="00A711A4"/>
    <w:rsid w:val="00A737EC"/>
    <w:rsid w:val="00A746F8"/>
    <w:rsid w:val="00A74B81"/>
    <w:rsid w:val="00A75193"/>
    <w:rsid w:val="00A7593F"/>
    <w:rsid w:val="00A75E77"/>
    <w:rsid w:val="00A7765C"/>
    <w:rsid w:val="00A82D74"/>
    <w:rsid w:val="00A8380C"/>
    <w:rsid w:val="00A85751"/>
    <w:rsid w:val="00A86D08"/>
    <w:rsid w:val="00A91D83"/>
    <w:rsid w:val="00A92A89"/>
    <w:rsid w:val="00A94379"/>
    <w:rsid w:val="00A94C70"/>
    <w:rsid w:val="00A952F7"/>
    <w:rsid w:val="00A96EE0"/>
    <w:rsid w:val="00AA0345"/>
    <w:rsid w:val="00AA2B86"/>
    <w:rsid w:val="00AA3A23"/>
    <w:rsid w:val="00AA671F"/>
    <w:rsid w:val="00AA7396"/>
    <w:rsid w:val="00AB3336"/>
    <w:rsid w:val="00AB4324"/>
    <w:rsid w:val="00AB484A"/>
    <w:rsid w:val="00AB4B1F"/>
    <w:rsid w:val="00AB4EF6"/>
    <w:rsid w:val="00AC20E1"/>
    <w:rsid w:val="00AC2AB5"/>
    <w:rsid w:val="00AC3E81"/>
    <w:rsid w:val="00AC467C"/>
    <w:rsid w:val="00AC5E30"/>
    <w:rsid w:val="00AC6191"/>
    <w:rsid w:val="00AC6A18"/>
    <w:rsid w:val="00AD022A"/>
    <w:rsid w:val="00AD1AF5"/>
    <w:rsid w:val="00AD1D64"/>
    <w:rsid w:val="00AD2675"/>
    <w:rsid w:val="00AD2AB5"/>
    <w:rsid w:val="00AD3149"/>
    <w:rsid w:val="00AD41D7"/>
    <w:rsid w:val="00AD66E7"/>
    <w:rsid w:val="00AD6B3F"/>
    <w:rsid w:val="00AD7926"/>
    <w:rsid w:val="00AD7B1F"/>
    <w:rsid w:val="00AE1025"/>
    <w:rsid w:val="00AE1152"/>
    <w:rsid w:val="00AE1D0A"/>
    <w:rsid w:val="00AE2AB5"/>
    <w:rsid w:val="00AE3BFD"/>
    <w:rsid w:val="00AE4289"/>
    <w:rsid w:val="00AE5BEF"/>
    <w:rsid w:val="00AE7828"/>
    <w:rsid w:val="00AE7F69"/>
    <w:rsid w:val="00AF05D0"/>
    <w:rsid w:val="00AF6D9A"/>
    <w:rsid w:val="00AF770F"/>
    <w:rsid w:val="00B01A38"/>
    <w:rsid w:val="00B01E51"/>
    <w:rsid w:val="00B01F13"/>
    <w:rsid w:val="00B02F59"/>
    <w:rsid w:val="00B02F9D"/>
    <w:rsid w:val="00B03F2A"/>
    <w:rsid w:val="00B04149"/>
    <w:rsid w:val="00B04903"/>
    <w:rsid w:val="00B05257"/>
    <w:rsid w:val="00B052D3"/>
    <w:rsid w:val="00B0591C"/>
    <w:rsid w:val="00B06211"/>
    <w:rsid w:val="00B110CC"/>
    <w:rsid w:val="00B133A6"/>
    <w:rsid w:val="00B1423B"/>
    <w:rsid w:val="00B163B5"/>
    <w:rsid w:val="00B211AC"/>
    <w:rsid w:val="00B2178D"/>
    <w:rsid w:val="00B22060"/>
    <w:rsid w:val="00B228D8"/>
    <w:rsid w:val="00B24E02"/>
    <w:rsid w:val="00B2562B"/>
    <w:rsid w:val="00B27DA4"/>
    <w:rsid w:val="00B301B6"/>
    <w:rsid w:val="00B30B52"/>
    <w:rsid w:val="00B31376"/>
    <w:rsid w:val="00B315DF"/>
    <w:rsid w:val="00B32768"/>
    <w:rsid w:val="00B32B22"/>
    <w:rsid w:val="00B332BF"/>
    <w:rsid w:val="00B33311"/>
    <w:rsid w:val="00B33567"/>
    <w:rsid w:val="00B33918"/>
    <w:rsid w:val="00B34037"/>
    <w:rsid w:val="00B34A83"/>
    <w:rsid w:val="00B34B3D"/>
    <w:rsid w:val="00B34EB3"/>
    <w:rsid w:val="00B35AB3"/>
    <w:rsid w:val="00B3787B"/>
    <w:rsid w:val="00B41456"/>
    <w:rsid w:val="00B4196F"/>
    <w:rsid w:val="00B4320C"/>
    <w:rsid w:val="00B453DF"/>
    <w:rsid w:val="00B459E2"/>
    <w:rsid w:val="00B45C2A"/>
    <w:rsid w:val="00B50399"/>
    <w:rsid w:val="00B50EF3"/>
    <w:rsid w:val="00B548FD"/>
    <w:rsid w:val="00B54E3C"/>
    <w:rsid w:val="00B552F4"/>
    <w:rsid w:val="00B5652F"/>
    <w:rsid w:val="00B5780B"/>
    <w:rsid w:val="00B61229"/>
    <w:rsid w:val="00B61E44"/>
    <w:rsid w:val="00B622CC"/>
    <w:rsid w:val="00B628B9"/>
    <w:rsid w:val="00B62F38"/>
    <w:rsid w:val="00B64EFD"/>
    <w:rsid w:val="00B64F06"/>
    <w:rsid w:val="00B654AE"/>
    <w:rsid w:val="00B6669F"/>
    <w:rsid w:val="00B70878"/>
    <w:rsid w:val="00B70B28"/>
    <w:rsid w:val="00B73B04"/>
    <w:rsid w:val="00B73B4F"/>
    <w:rsid w:val="00B73EDA"/>
    <w:rsid w:val="00B740A0"/>
    <w:rsid w:val="00B75F8B"/>
    <w:rsid w:val="00B76334"/>
    <w:rsid w:val="00B76553"/>
    <w:rsid w:val="00B80130"/>
    <w:rsid w:val="00B8095A"/>
    <w:rsid w:val="00B8139D"/>
    <w:rsid w:val="00B871BB"/>
    <w:rsid w:val="00B87295"/>
    <w:rsid w:val="00B90868"/>
    <w:rsid w:val="00B914C9"/>
    <w:rsid w:val="00B91E00"/>
    <w:rsid w:val="00B92BD1"/>
    <w:rsid w:val="00B92FA6"/>
    <w:rsid w:val="00B93345"/>
    <w:rsid w:val="00B937B2"/>
    <w:rsid w:val="00B96007"/>
    <w:rsid w:val="00B97DBF"/>
    <w:rsid w:val="00B97EE5"/>
    <w:rsid w:val="00BA1DA1"/>
    <w:rsid w:val="00BA26C1"/>
    <w:rsid w:val="00BA28C5"/>
    <w:rsid w:val="00BA2E8C"/>
    <w:rsid w:val="00BA66E1"/>
    <w:rsid w:val="00BA6DA5"/>
    <w:rsid w:val="00BA70EC"/>
    <w:rsid w:val="00BA7A34"/>
    <w:rsid w:val="00BA7CD9"/>
    <w:rsid w:val="00BB153E"/>
    <w:rsid w:val="00BB4300"/>
    <w:rsid w:val="00BB4AEF"/>
    <w:rsid w:val="00BB5C13"/>
    <w:rsid w:val="00BB61DD"/>
    <w:rsid w:val="00BC0011"/>
    <w:rsid w:val="00BC006A"/>
    <w:rsid w:val="00BC212C"/>
    <w:rsid w:val="00BC2944"/>
    <w:rsid w:val="00BC2EA3"/>
    <w:rsid w:val="00BC4967"/>
    <w:rsid w:val="00BC4A92"/>
    <w:rsid w:val="00BC52F9"/>
    <w:rsid w:val="00BC5321"/>
    <w:rsid w:val="00BD074B"/>
    <w:rsid w:val="00BD0852"/>
    <w:rsid w:val="00BD0E33"/>
    <w:rsid w:val="00BD16A3"/>
    <w:rsid w:val="00BD223B"/>
    <w:rsid w:val="00BD31FE"/>
    <w:rsid w:val="00BD3AE8"/>
    <w:rsid w:val="00BD7585"/>
    <w:rsid w:val="00BE0810"/>
    <w:rsid w:val="00BE09AA"/>
    <w:rsid w:val="00BE389C"/>
    <w:rsid w:val="00BE4EAD"/>
    <w:rsid w:val="00BE59B5"/>
    <w:rsid w:val="00BE70A3"/>
    <w:rsid w:val="00BE7676"/>
    <w:rsid w:val="00BE7937"/>
    <w:rsid w:val="00BE7B22"/>
    <w:rsid w:val="00BF249A"/>
    <w:rsid w:val="00BF25C4"/>
    <w:rsid w:val="00BF2851"/>
    <w:rsid w:val="00BF3642"/>
    <w:rsid w:val="00BF4906"/>
    <w:rsid w:val="00BF4A4F"/>
    <w:rsid w:val="00BF4C45"/>
    <w:rsid w:val="00BF5058"/>
    <w:rsid w:val="00BF6AE3"/>
    <w:rsid w:val="00BF7003"/>
    <w:rsid w:val="00BF7332"/>
    <w:rsid w:val="00C004D8"/>
    <w:rsid w:val="00C00CE4"/>
    <w:rsid w:val="00C02BB2"/>
    <w:rsid w:val="00C02DB2"/>
    <w:rsid w:val="00C03365"/>
    <w:rsid w:val="00C03C6E"/>
    <w:rsid w:val="00C044C7"/>
    <w:rsid w:val="00C05020"/>
    <w:rsid w:val="00C06A64"/>
    <w:rsid w:val="00C100F9"/>
    <w:rsid w:val="00C12190"/>
    <w:rsid w:val="00C1396D"/>
    <w:rsid w:val="00C139F7"/>
    <w:rsid w:val="00C14127"/>
    <w:rsid w:val="00C147C4"/>
    <w:rsid w:val="00C17816"/>
    <w:rsid w:val="00C179C7"/>
    <w:rsid w:val="00C20075"/>
    <w:rsid w:val="00C208EB"/>
    <w:rsid w:val="00C211BB"/>
    <w:rsid w:val="00C214A6"/>
    <w:rsid w:val="00C235DE"/>
    <w:rsid w:val="00C23A00"/>
    <w:rsid w:val="00C23CB1"/>
    <w:rsid w:val="00C25299"/>
    <w:rsid w:val="00C265FA"/>
    <w:rsid w:val="00C26BFF"/>
    <w:rsid w:val="00C27225"/>
    <w:rsid w:val="00C27325"/>
    <w:rsid w:val="00C31F10"/>
    <w:rsid w:val="00C34253"/>
    <w:rsid w:val="00C363FA"/>
    <w:rsid w:val="00C40B19"/>
    <w:rsid w:val="00C4140F"/>
    <w:rsid w:val="00C41D88"/>
    <w:rsid w:val="00C4248A"/>
    <w:rsid w:val="00C42E57"/>
    <w:rsid w:val="00C42FF9"/>
    <w:rsid w:val="00C4503C"/>
    <w:rsid w:val="00C464D2"/>
    <w:rsid w:val="00C46F91"/>
    <w:rsid w:val="00C510FB"/>
    <w:rsid w:val="00C5226E"/>
    <w:rsid w:val="00C52964"/>
    <w:rsid w:val="00C52C1F"/>
    <w:rsid w:val="00C531C8"/>
    <w:rsid w:val="00C53BE0"/>
    <w:rsid w:val="00C550C5"/>
    <w:rsid w:val="00C55452"/>
    <w:rsid w:val="00C554DB"/>
    <w:rsid w:val="00C606B5"/>
    <w:rsid w:val="00C60A57"/>
    <w:rsid w:val="00C614E4"/>
    <w:rsid w:val="00C6294B"/>
    <w:rsid w:val="00C63842"/>
    <w:rsid w:val="00C644C9"/>
    <w:rsid w:val="00C6634A"/>
    <w:rsid w:val="00C668B5"/>
    <w:rsid w:val="00C6698D"/>
    <w:rsid w:val="00C669E3"/>
    <w:rsid w:val="00C66F89"/>
    <w:rsid w:val="00C677B0"/>
    <w:rsid w:val="00C723EE"/>
    <w:rsid w:val="00C729C1"/>
    <w:rsid w:val="00C739B1"/>
    <w:rsid w:val="00C7435E"/>
    <w:rsid w:val="00C74990"/>
    <w:rsid w:val="00C75712"/>
    <w:rsid w:val="00C8017F"/>
    <w:rsid w:val="00C80D18"/>
    <w:rsid w:val="00C80FB1"/>
    <w:rsid w:val="00C811BA"/>
    <w:rsid w:val="00C81CF4"/>
    <w:rsid w:val="00C82034"/>
    <w:rsid w:val="00C83386"/>
    <w:rsid w:val="00C83783"/>
    <w:rsid w:val="00C8384A"/>
    <w:rsid w:val="00C83980"/>
    <w:rsid w:val="00C84F08"/>
    <w:rsid w:val="00C85934"/>
    <w:rsid w:val="00C87C37"/>
    <w:rsid w:val="00C91826"/>
    <w:rsid w:val="00C91ED4"/>
    <w:rsid w:val="00C92C76"/>
    <w:rsid w:val="00C95C71"/>
    <w:rsid w:val="00C96C82"/>
    <w:rsid w:val="00CA07B4"/>
    <w:rsid w:val="00CA1ECF"/>
    <w:rsid w:val="00CA2C68"/>
    <w:rsid w:val="00CA3C37"/>
    <w:rsid w:val="00CA502C"/>
    <w:rsid w:val="00CA63E0"/>
    <w:rsid w:val="00CA6AA0"/>
    <w:rsid w:val="00CA6EC2"/>
    <w:rsid w:val="00CB013D"/>
    <w:rsid w:val="00CB19AB"/>
    <w:rsid w:val="00CB21A3"/>
    <w:rsid w:val="00CB2653"/>
    <w:rsid w:val="00CB2F65"/>
    <w:rsid w:val="00CB3C9E"/>
    <w:rsid w:val="00CB3EC4"/>
    <w:rsid w:val="00CB5A9B"/>
    <w:rsid w:val="00CB6615"/>
    <w:rsid w:val="00CC076F"/>
    <w:rsid w:val="00CC0CCC"/>
    <w:rsid w:val="00CC106E"/>
    <w:rsid w:val="00CC122F"/>
    <w:rsid w:val="00CC3425"/>
    <w:rsid w:val="00CC3771"/>
    <w:rsid w:val="00CC558F"/>
    <w:rsid w:val="00CC6DFB"/>
    <w:rsid w:val="00CC722D"/>
    <w:rsid w:val="00CD13CF"/>
    <w:rsid w:val="00CD371E"/>
    <w:rsid w:val="00CD3898"/>
    <w:rsid w:val="00CD403D"/>
    <w:rsid w:val="00CD709E"/>
    <w:rsid w:val="00CE0582"/>
    <w:rsid w:val="00CE123A"/>
    <w:rsid w:val="00CE2763"/>
    <w:rsid w:val="00CE5C95"/>
    <w:rsid w:val="00CE6723"/>
    <w:rsid w:val="00CE6E6B"/>
    <w:rsid w:val="00CF0519"/>
    <w:rsid w:val="00CF1240"/>
    <w:rsid w:val="00CF16DF"/>
    <w:rsid w:val="00CF4E25"/>
    <w:rsid w:val="00CF4E99"/>
    <w:rsid w:val="00CF5839"/>
    <w:rsid w:val="00D00293"/>
    <w:rsid w:val="00D0055F"/>
    <w:rsid w:val="00D00AA2"/>
    <w:rsid w:val="00D00ED7"/>
    <w:rsid w:val="00D01999"/>
    <w:rsid w:val="00D03092"/>
    <w:rsid w:val="00D0319F"/>
    <w:rsid w:val="00D05144"/>
    <w:rsid w:val="00D053AA"/>
    <w:rsid w:val="00D05780"/>
    <w:rsid w:val="00D06149"/>
    <w:rsid w:val="00D108E6"/>
    <w:rsid w:val="00D11F65"/>
    <w:rsid w:val="00D1215A"/>
    <w:rsid w:val="00D1323D"/>
    <w:rsid w:val="00D1733A"/>
    <w:rsid w:val="00D178AD"/>
    <w:rsid w:val="00D20FFA"/>
    <w:rsid w:val="00D223C0"/>
    <w:rsid w:val="00D234F6"/>
    <w:rsid w:val="00D254C4"/>
    <w:rsid w:val="00D31552"/>
    <w:rsid w:val="00D3189B"/>
    <w:rsid w:val="00D324BC"/>
    <w:rsid w:val="00D32F62"/>
    <w:rsid w:val="00D35243"/>
    <w:rsid w:val="00D36566"/>
    <w:rsid w:val="00D366D3"/>
    <w:rsid w:val="00D37DF4"/>
    <w:rsid w:val="00D4039D"/>
    <w:rsid w:val="00D4054B"/>
    <w:rsid w:val="00D40DF5"/>
    <w:rsid w:val="00D4412F"/>
    <w:rsid w:val="00D4415C"/>
    <w:rsid w:val="00D4537C"/>
    <w:rsid w:val="00D50334"/>
    <w:rsid w:val="00D50A3A"/>
    <w:rsid w:val="00D52A06"/>
    <w:rsid w:val="00D52A97"/>
    <w:rsid w:val="00D52F1A"/>
    <w:rsid w:val="00D5377B"/>
    <w:rsid w:val="00D53E0A"/>
    <w:rsid w:val="00D54266"/>
    <w:rsid w:val="00D54440"/>
    <w:rsid w:val="00D5549B"/>
    <w:rsid w:val="00D55E85"/>
    <w:rsid w:val="00D56FE1"/>
    <w:rsid w:val="00D572E6"/>
    <w:rsid w:val="00D60AF2"/>
    <w:rsid w:val="00D618D6"/>
    <w:rsid w:val="00D61966"/>
    <w:rsid w:val="00D62296"/>
    <w:rsid w:val="00D62433"/>
    <w:rsid w:val="00D62906"/>
    <w:rsid w:val="00D6297F"/>
    <w:rsid w:val="00D62E77"/>
    <w:rsid w:val="00D6403C"/>
    <w:rsid w:val="00D65ABD"/>
    <w:rsid w:val="00D66B3F"/>
    <w:rsid w:val="00D6717F"/>
    <w:rsid w:val="00D671BE"/>
    <w:rsid w:val="00D70C6D"/>
    <w:rsid w:val="00D711D0"/>
    <w:rsid w:val="00D713D5"/>
    <w:rsid w:val="00D71924"/>
    <w:rsid w:val="00D71EE8"/>
    <w:rsid w:val="00D73743"/>
    <w:rsid w:val="00D737DA"/>
    <w:rsid w:val="00D740E9"/>
    <w:rsid w:val="00D74530"/>
    <w:rsid w:val="00D753F2"/>
    <w:rsid w:val="00D76BFB"/>
    <w:rsid w:val="00D77E46"/>
    <w:rsid w:val="00D805FB"/>
    <w:rsid w:val="00D80A32"/>
    <w:rsid w:val="00D813B2"/>
    <w:rsid w:val="00D81B52"/>
    <w:rsid w:val="00D824E6"/>
    <w:rsid w:val="00D82DF9"/>
    <w:rsid w:val="00D83085"/>
    <w:rsid w:val="00D832DB"/>
    <w:rsid w:val="00D83398"/>
    <w:rsid w:val="00D84D7B"/>
    <w:rsid w:val="00D85AA3"/>
    <w:rsid w:val="00D85C9A"/>
    <w:rsid w:val="00D85CE2"/>
    <w:rsid w:val="00D86274"/>
    <w:rsid w:val="00D86B05"/>
    <w:rsid w:val="00D91396"/>
    <w:rsid w:val="00D9186A"/>
    <w:rsid w:val="00D92E96"/>
    <w:rsid w:val="00D95A18"/>
    <w:rsid w:val="00D96797"/>
    <w:rsid w:val="00D9689A"/>
    <w:rsid w:val="00DA0751"/>
    <w:rsid w:val="00DA113A"/>
    <w:rsid w:val="00DA2401"/>
    <w:rsid w:val="00DA3027"/>
    <w:rsid w:val="00DA3FE8"/>
    <w:rsid w:val="00DA4CF2"/>
    <w:rsid w:val="00DA644C"/>
    <w:rsid w:val="00DB1477"/>
    <w:rsid w:val="00DB14E7"/>
    <w:rsid w:val="00DB1D22"/>
    <w:rsid w:val="00DB3607"/>
    <w:rsid w:val="00DB360B"/>
    <w:rsid w:val="00DB3C6A"/>
    <w:rsid w:val="00DB4FA4"/>
    <w:rsid w:val="00DB5964"/>
    <w:rsid w:val="00DB693D"/>
    <w:rsid w:val="00DB7F11"/>
    <w:rsid w:val="00DC22CF"/>
    <w:rsid w:val="00DC27CA"/>
    <w:rsid w:val="00DC322B"/>
    <w:rsid w:val="00DC4309"/>
    <w:rsid w:val="00DC52FC"/>
    <w:rsid w:val="00DC5380"/>
    <w:rsid w:val="00DC7E24"/>
    <w:rsid w:val="00DD2736"/>
    <w:rsid w:val="00DD2F71"/>
    <w:rsid w:val="00DD3706"/>
    <w:rsid w:val="00DD4244"/>
    <w:rsid w:val="00DD4348"/>
    <w:rsid w:val="00DD6C55"/>
    <w:rsid w:val="00DD7208"/>
    <w:rsid w:val="00DE309C"/>
    <w:rsid w:val="00DE3C63"/>
    <w:rsid w:val="00DE3E95"/>
    <w:rsid w:val="00DE7D62"/>
    <w:rsid w:val="00DF07CB"/>
    <w:rsid w:val="00DF0963"/>
    <w:rsid w:val="00DF0B76"/>
    <w:rsid w:val="00DF1CE9"/>
    <w:rsid w:val="00DF2EAC"/>
    <w:rsid w:val="00DF386B"/>
    <w:rsid w:val="00DF3B6F"/>
    <w:rsid w:val="00DF3D8B"/>
    <w:rsid w:val="00DF46F8"/>
    <w:rsid w:val="00DF53FE"/>
    <w:rsid w:val="00DF5C26"/>
    <w:rsid w:val="00DF68A7"/>
    <w:rsid w:val="00DF6E4D"/>
    <w:rsid w:val="00DF7173"/>
    <w:rsid w:val="00E01564"/>
    <w:rsid w:val="00E02D84"/>
    <w:rsid w:val="00E0314F"/>
    <w:rsid w:val="00E032ED"/>
    <w:rsid w:val="00E041B4"/>
    <w:rsid w:val="00E04A50"/>
    <w:rsid w:val="00E04DF6"/>
    <w:rsid w:val="00E05488"/>
    <w:rsid w:val="00E055D9"/>
    <w:rsid w:val="00E05F16"/>
    <w:rsid w:val="00E061C8"/>
    <w:rsid w:val="00E0645F"/>
    <w:rsid w:val="00E06EB5"/>
    <w:rsid w:val="00E071C4"/>
    <w:rsid w:val="00E101E8"/>
    <w:rsid w:val="00E11170"/>
    <w:rsid w:val="00E11C13"/>
    <w:rsid w:val="00E1207A"/>
    <w:rsid w:val="00E142ED"/>
    <w:rsid w:val="00E15E73"/>
    <w:rsid w:val="00E166D1"/>
    <w:rsid w:val="00E1674C"/>
    <w:rsid w:val="00E16B6E"/>
    <w:rsid w:val="00E17F47"/>
    <w:rsid w:val="00E20215"/>
    <w:rsid w:val="00E22B2D"/>
    <w:rsid w:val="00E24AD8"/>
    <w:rsid w:val="00E2553F"/>
    <w:rsid w:val="00E26069"/>
    <w:rsid w:val="00E26770"/>
    <w:rsid w:val="00E27A25"/>
    <w:rsid w:val="00E308D5"/>
    <w:rsid w:val="00E31432"/>
    <w:rsid w:val="00E31454"/>
    <w:rsid w:val="00E31DB4"/>
    <w:rsid w:val="00E32A62"/>
    <w:rsid w:val="00E32C5F"/>
    <w:rsid w:val="00E3336D"/>
    <w:rsid w:val="00E33EA3"/>
    <w:rsid w:val="00E34181"/>
    <w:rsid w:val="00E348B0"/>
    <w:rsid w:val="00E37001"/>
    <w:rsid w:val="00E40498"/>
    <w:rsid w:val="00E4237E"/>
    <w:rsid w:val="00E430B8"/>
    <w:rsid w:val="00E43A3B"/>
    <w:rsid w:val="00E43D0E"/>
    <w:rsid w:val="00E43D91"/>
    <w:rsid w:val="00E446B7"/>
    <w:rsid w:val="00E450CD"/>
    <w:rsid w:val="00E458FE"/>
    <w:rsid w:val="00E4765B"/>
    <w:rsid w:val="00E4769A"/>
    <w:rsid w:val="00E47AB5"/>
    <w:rsid w:val="00E47C34"/>
    <w:rsid w:val="00E504E3"/>
    <w:rsid w:val="00E50F3C"/>
    <w:rsid w:val="00E5275C"/>
    <w:rsid w:val="00E535F2"/>
    <w:rsid w:val="00E53DFD"/>
    <w:rsid w:val="00E546F2"/>
    <w:rsid w:val="00E5499D"/>
    <w:rsid w:val="00E56B70"/>
    <w:rsid w:val="00E60F23"/>
    <w:rsid w:val="00E611F1"/>
    <w:rsid w:val="00E631B3"/>
    <w:rsid w:val="00E63868"/>
    <w:rsid w:val="00E642ED"/>
    <w:rsid w:val="00E67773"/>
    <w:rsid w:val="00E70379"/>
    <w:rsid w:val="00E71CA9"/>
    <w:rsid w:val="00E72DF5"/>
    <w:rsid w:val="00E745D1"/>
    <w:rsid w:val="00E747AD"/>
    <w:rsid w:val="00E7733B"/>
    <w:rsid w:val="00E809C8"/>
    <w:rsid w:val="00E815B1"/>
    <w:rsid w:val="00E81EEB"/>
    <w:rsid w:val="00E82047"/>
    <w:rsid w:val="00E83FAE"/>
    <w:rsid w:val="00E8451D"/>
    <w:rsid w:val="00E85ED1"/>
    <w:rsid w:val="00E8731C"/>
    <w:rsid w:val="00E87CBC"/>
    <w:rsid w:val="00E90DC0"/>
    <w:rsid w:val="00E91536"/>
    <w:rsid w:val="00E916A8"/>
    <w:rsid w:val="00E94D55"/>
    <w:rsid w:val="00E96C38"/>
    <w:rsid w:val="00E96E30"/>
    <w:rsid w:val="00E978BB"/>
    <w:rsid w:val="00E97BA5"/>
    <w:rsid w:val="00EA0B0B"/>
    <w:rsid w:val="00EA32B5"/>
    <w:rsid w:val="00EA492C"/>
    <w:rsid w:val="00EA62FB"/>
    <w:rsid w:val="00EA68FE"/>
    <w:rsid w:val="00EA6E33"/>
    <w:rsid w:val="00EB0D8E"/>
    <w:rsid w:val="00EB16C1"/>
    <w:rsid w:val="00EB1A35"/>
    <w:rsid w:val="00EB2247"/>
    <w:rsid w:val="00EB2470"/>
    <w:rsid w:val="00EB24C0"/>
    <w:rsid w:val="00EB273C"/>
    <w:rsid w:val="00EB33AB"/>
    <w:rsid w:val="00EB4982"/>
    <w:rsid w:val="00EB541D"/>
    <w:rsid w:val="00EB6505"/>
    <w:rsid w:val="00EB660C"/>
    <w:rsid w:val="00EB7778"/>
    <w:rsid w:val="00EB779C"/>
    <w:rsid w:val="00EC13A3"/>
    <w:rsid w:val="00EC29DD"/>
    <w:rsid w:val="00EC3794"/>
    <w:rsid w:val="00EC4138"/>
    <w:rsid w:val="00EC5EB5"/>
    <w:rsid w:val="00EC697A"/>
    <w:rsid w:val="00ED0C9C"/>
    <w:rsid w:val="00ED2499"/>
    <w:rsid w:val="00ED28E1"/>
    <w:rsid w:val="00ED32E1"/>
    <w:rsid w:val="00ED3A3B"/>
    <w:rsid w:val="00ED3B31"/>
    <w:rsid w:val="00ED60CD"/>
    <w:rsid w:val="00ED617A"/>
    <w:rsid w:val="00ED62EE"/>
    <w:rsid w:val="00ED7ABB"/>
    <w:rsid w:val="00EE156D"/>
    <w:rsid w:val="00EE1C4D"/>
    <w:rsid w:val="00EE6A3C"/>
    <w:rsid w:val="00EE6F32"/>
    <w:rsid w:val="00EE70D2"/>
    <w:rsid w:val="00EE7759"/>
    <w:rsid w:val="00EF0160"/>
    <w:rsid w:val="00EF032D"/>
    <w:rsid w:val="00EF098D"/>
    <w:rsid w:val="00EF0CC0"/>
    <w:rsid w:val="00EF0FFE"/>
    <w:rsid w:val="00EF112C"/>
    <w:rsid w:val="00EF3E31"/>
    <w:rsid w:val="00EF454F"/>
    <w:rsid w:val="00EF4901"/>
    <w:rsid w:val="00F0005E"/>
    <w:rsid w:val="00F02A7E"/>
    <w:rsid w:val="00F031BB"/>
    <w:rsid w:val="00F038C8"/>
    <w:rsid w:val="00F0399C"/>
    <w:rsid w:val="00F03A1D"/>
    <w:rsid w:val="00F04CD6"/>
    <w:rsid w:val="00F0502C"/>
    <w:rsid w:val="00F06C4A"/>
    <w:rsid w:val="00F117F2"/>
    <w:rsid w:val="00F1278B"/>
    <w:rsid w:val="00F13566"/>
    <w:rsid w:val="00F13C74"/>
    <w:rsid w:val="00F13E90"/>
    <w:rsid w:val="00F14DB5"/>
    <w:rsid w:val="00F16047"/>
    <w:rsid w:val="00F160B8"/>
    <w:rsid w:val="00F20FA0"/>
    <w:rsid w:val="00F21275"/>
    <w:rsid w:val="00F22663"/>
    <w:rsid w:val="00F24055"/>
    <w:rsid w:val="00F2422B"/>
    <w:rsid w:val="00F24A4C"/>
    <w:rsid w:val="00F24CCA"/>
    <w:rsid w:val="00F255CB"/>
    <w:rsid w:val="00F26A36"/>
    <w:rsid w:val="00F26DF6"/>
    <w:rsid w:val="00F27003"/>
    <w:rsid w:val="00F30841"/>
    <w:rsid w:val="00F31AD8"/>
    <w:rsid w:val="00F32142"/>
    <w:rsid w:val="00F32362"/>
    <w:rsid w:val="00F32B6F"/>
    <w:rsid w:val="00F32FD7"/>
    <w:rsid w:val="00F33CC9"/>
    <w:rsid w:val="00F33D81"/>
    <w:rsid w:val="00F34C62"/>
    <w:rsid w:val="00F34DA4"/>
    <w:rsid w:val="00F35911"/>
    <w:rsid w:val="00F35BF1"/>
    <w:rsid w:val="00F3756E"/>
    <w:rsid w:val="00F40935"/>
    <w:rsid w:val="00F40F30"/>
    <w:rsid w:val="00F40FB8"/>
    <w:rsid w:val="00F4142C"/>
    <w:rsid w:val="00F42DD9"/>
    <w:rsid w:val="00F432A4"/>
    <w:rsid w:val="00F43C89"/>
    <w:rsid w:val="00F449F0"/>
    <w:rsid w:val="00F44BF7"/>
    <w:rsid w:val="00F45985"/>
    <w:rsid w:val="00F463CF"/>
    <w:rsid w:val="00F46F6F"/>
    <w:rsid w:val="00F477D5"/>
    <w:rsid w:val="00F5003C"/>
    <w:rsid w:val="00F508AE"/>
    <w:rsid w:val="00F50C62"/>
    <w:rsid w:val="00F516AD"/>
    <w:rsid w:val="00F516C4"/>
    <w:rsid w:val="00F51A29"/>
    <w:rsid w:val="00F530EA"/>
    <w:rsid w:val="00F5533E"/>
    <w:rsid w:val="00F556BF"/>
    <w:rsid w:val="00F57110"/>
    <w:rsid w:val="00F60C01"/>
    <w:rsid w:val="00F61476"/>
    <w:rsid w:val="00F628B0"/>
    <w:rsid w:val="00F63FBC"/>
    <w:rsid w:val="00F6796D"/>
    <w:rsid w:val="00F70403"/>
    <w:rsid w:val="00F73498"/>
    <w:rsid w:val="00F73DF3"/>
    <w:rsid w:val="00F73F41"/>
    <w:rsid w:val="00F74BD6"/>
    <w:rsid w:val="00F76F8D"/>
    <w:rsid w:val="00F80AD0"/>
    <w:rsid w:val="00F80D9C"/>
    <w:rsid w:val="00F80ECA"/>
    <w:rsid w:val="00F820DE"/>
    <w:rsid w:val="00F8328F"/>
    <w:rsid w:val="00F83E65"/>
    <w:rsid w:val="00F84A95"/>
    <w:rsid w:val="00F84DEF"/>
    <w:rsid w:val="00F850A0"/>
    <w:rsid w:val="00F87D69"/>
    <w:rsid w:val="00F90E47"/>
    <w:rsid w:val="00F91DDE"/>
    <w:rsid w:val="00F92804"/>
    <w:rsid w:val="00F928D0"/>
    <w:rsid w:val="00F94FFC"/>
    <w:rsid w:val="00F95240"/>
    <w:rsid w:val="00F95597"/>
    <w:rsid w:val="00F97DA9"/>
    <w:rsid w:val="00FA0504"/>
    <w:rsid w:val="00FA1D91"/>
    <w:rsid w:val="00FA2603"/>
    <w:rsid w:val="00FA2A1E"/>
    <w:rsid w:val="00FA3011"/>
    <w:rsid w:val="00FA32EC"/>
    <w:rsid w:val="00FA3771"/>
    <w:rsid w:val="00FA51F5"/>
    <w:rsid w:val="00FA5613"/>
    <w:rsid w:val="00FA6074"/>
    <w:rsid w:val="00FA7148"/>
    <w:rsid w:val="00FA72AD"/>
    <w:rsid w:val="00FA73B1"/>
    <w:rsid w:val="00FB0C02"/>
    <w:rsid w:val="00FB13C5"/>
    <w:rsid w:val="00FB1691"/>
    <w:rsid w:val="00FB23EB"/>
    <w:rsid w:val="00FB2FE9"/>
    <w:rsid w:val="00FB317B"/>
    <w:rsid w:val="00FB3C6E"/>
    <w:rsid w:val="00FB63C2"/>
    <w:rsid w:val="00FC05C8"/>
    <w:rsid w:val="00FC0D39"/>
    <w:rsid w:val="00FC4BD5"/>
    <w:rsid w:val="00FC63BE"/>
    <w:rsid w:val="00FC77C4"/>
    <w:rsid w:val="00FC7B1F"/>
    <w:rsid w:val="00FC7FC7"/>
    <w:rsid w:val="00FD0C33"/>
    <w:rsid w:val="00FD0E70"/>
    <w:rsid w:val="00FD2573"/>
    <w:rsid w:val="00FD378B"/>
    <w:rsid w:val="00FD42D7"/>
    <w:rsid w:val="00FD42DE"/>
    <w:rsid w:val="00FD4E73"/>
    <w:rsid w:val="00FD4EC2"/>
    <w:rsid w:val="00FD6817"/>
    <w:rsid w:val="00FD7A07"/>
    <w:rsid w:val="00FE00FA"/>
    <w:rsid w:val="00FE1026"/>
    <w:rsid w:val="00FE19DB"/>
    <w:rsid w:val="00FE2184"/>
    <w:rsid w:val="00FE22C5"/>
    <w:rsid w:val="00FE2301"/>
    <w:rsid w:val="00FE31A8"/>
    <w:rsid w:val="00FE4408"/>
    <w:rsid w:val="00FE6273"/>
    <w:rsid w:val="00FF007A"/>
    <w:rsid w:val="00FF134F"/>
    <w:rsid w:val="00FF2441"/>
    <w:rsid w:val="00FF2D08"/>
    <w:rsid w:val="00FF35C7"/>
    <w:rsid w:val="00FF3A5F"/>
    <w:rsid w:val="00FF46E4"/>
    <w:rsid w:val="00FF7228"/>
    <w:rsid w:val="00FF7376"/>
    <w:rsid w:val="00FF7885"/>
    <w:rsid w:val="2CF7D02D"/>
    <w:rsid w:val="57FF86F9"/>
    <w:rsid w:val="5BFF21DB"/>
    <w:rsid w:val="7CE77969"/>
    <w:rsid w:val="7FFDC102"/>
    <w:rsid w:val="97DF1E6B"/>
    <w:rsid w:val="B0BA3235"/>
    <w:rsid w:val="B4ED8B01"/>
    <w:rsid w:val="D8BB3B18"/>
    <w:rsid w:val="E7547684"/>
    <w:rsid w:val="EDFB81F6"/>
    <w:rsid w:val="EF7FF064"/>
    <w:rsid w:val="EFAB8575"/>
    <w:rsid w:val="F7F93A6D"/>
    <w:rsid w:val="F7FE48E2"/>
    <w:rsid w:val="FBFC30A5"/>
    <w:rsid w:val="FFFB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宋体" w:hAnsi="宋体" w:eastAsia="宋体" w:cs="Times New Roman"/>
      <w:sz w:val="24"/>
      <w:szCs w:val="22"/>
      <w:lang w:val="en-US" w:eastAsia="zh-CN" w:bidi="ar-SA"/>
    </w:rPr>
  </w:style>
  <w:style w:type="paragraph" w:styleId="2">
    <w:name w:val="heading 1"/>
    <w:basedOn w:val="3"/>
    <w:next w:val="1"/>
    <w:link w:val="19"/>
    <w:qFormat/>
    <w:uiPriority w:val="9"/>
    <w:pPr>
      <w:spacing w:line="360" w:lineRule="auto"/>
      <w:jc w:val="center"/>
      <w:outlineLvl w:val="0"/>
    </w:pPr>
    <w:rPr>
      <w:color w:val="auto"/>
      <w:sz w:val="32"/>
      <w:szCs w:val="32"/>
    </w:rPr>
  </w:style>
  <w:style w:type="paragraph" w:styleId="4">
    <w:name w:val="heading 2"/>
    <w:basedOn w:val="3"/>
    <w:next w:val="1"/>
    <w:link w:val="20"/>
    <w:unhideWhenUsed/>
    <w:qFormat/>
    <w:uiPriority w:val="9"/>
    <w:pPr>
      <w:spacing w:line="360" w:lineRule="auto"/>
      <w:jc w:val="center"/>
      <w:outlineLvl w:val="1"/>
    </w:pPr>
    <w:rPr>
      <w:rFonts w:ascii="仿宋" w:eastAsia="仿宋" w:cs="仿宋"/>
      <w:b/>
      <w:bCs/>
      <w:color w:val="auto"/>
      <w:sz w:val="32"/>
      <w:szCs w:val="32"/>
    </w:rPr>
  </w:style>
  <w:style w:type="paragraph" w:styleId="5">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Default"/>
    <w:qFormat/>
    <w:uiPriority w:val="0"/>
    <w:pPr>
      <w:autoSpaceDE w:val="0"/>
      <w:autoSpaceDN w:val="0"/>
      <w:adjustRightInd w:val="0"/>
      <w:spacing w:after="0" w:line="240" w:lineRule="auto"/>
    </w:pPr>
    <w:rPr>
      <w:rFonts w:ascii="黑体" w:hAnsi="宋体" w:eastAsia="黑体" w:cs="黑体"/>
      <w:color w:val="000000"/>
      <w:sz w:val="24"/>
      <w:szCs w:val="24"/>
      <w:lang w:val="en-US" w:eastAsia="zh-CN" w:bidi="ar-SA"/>
    </w:rPr>
  </w:style>
  <w:style w:type="paragraph" w:styleId="6">
    <w:name w:val="annotation text"/>
    <w:basedOn w:val="1"/>
    <w:link w:val="16"/>
    <w:unhideWhenUsed/>
    <w:qFormat/>
    <w:uiPriority w:val="99"/>
    <w:pPr>
      <w:spacing w:line="240" w:lineRule="auto"/>
    </w:pPr>
    <w:rPr>
      <w:sz w:val="20"/>
      <w:szCs w:val="20"/>
    </w:rPr>
  </w:style>
  <w:style w:type="paragraph" w:styleId="7">
    <w:name w:val="footer"/>
    <w:basedOn w:val="1"/>
    <w:link w:val="15"/>
    <w:unhideWhenUsed/>
    <w:qFormat/>
    <w:uiPriority w:val="99"/>
    <w:pPr>
      <w:tabs>
        <w:tab w:val="center" w:pos="4680"/>
        <w:tab w:val="right" w:pos="9360"/>
      </w:tabs>
      <w:spacing w:after="0" w:line="240" w:lineRule="auto"/>
    </w:pPr>
  </w:style>
  <w:style w:type="paragraph" w:styleId="8">
    <w:name w:val="header"/>
    <w:basedOn w:val="1"/>
    <w:link w:val="14"/>
    <w:unhideWhenUsed/>
    <w:qFormat/>
    <w:uiPriority w:val="99"/>
    <w:pPr>
      <w:tabs>
        <w:tab w:val="center" w:pos="4680"/>
        <w:tab w:val="right" w:pos="9360"/>
      </w:tabs>
      <w:spacing w:after="0" w:line="240" w:lineRule="auto"/>
    </w:pPr>
  </w:style>
  <w:style w:type="paragraph" w:styleId="9">
    <w:name w:val="annotation subject"/>
    <w:basedOn w:val="6"/>
    <w:next w:val="6"/>
    <w:link w:val="17"/>
    <w:semiHidden/>
    <w:unhideWhenUsed/>
    <w:qFormat/>
    <w:uiPriority w:val="99"/>
    <w:rPr>
      <w:b/>
      <w:bCs/>
    </w:rPr>
  </w:style>
  <w:style w:type="table" w:styleId="11">
    <w:name w:val="Table Grid"/>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16"/>
      <w:szCs w:val="16"/>
    </w:rPr>
  </w:style>
  <w:style w:type="character" w:customStyle="1" w:styleId="14">
    <w:name w:val="页眉 字符"/>
    <w:basedOn w:val="12"/>
    <w:link w:val="8"/>
    <w:qFormat/>
    <w:uiPriority w:val="99"/>
  </w:style>
  <w:style w:type="character" w:customStyle="1" w:styleId="15">
    <w:name w:val="页脚 字符"/>
    <w:basedOn w:val="12"/>
    <w:link w:val="7"/>
    <w:qFormat/>
    <w:uiPriority w:val="99"/>
  </w:style>
  <w:style w:type="character" w:customStyle="1" w:styleId="16">
    <w:name w:val="批注文字 字符"/>
    <w:basedOn w:val="12"/>
    <w:link w:val="6"/>
    <w:qFormat/>
    <w:uiPriority w:val="99"/>
    <w:rPr>
      <w:sz w:val="20"/>
      <w:szCs w:val="20"/>
    </w:rPr>
  </w:style>
  <w:style w:type="character" w:customStyle="1" w:styleId="17">
    <w:name w:val="批注主题 字符"/>
    <w:basedOn w:val="16"/>
    <w:link w:val="9"/>
    <w:semiHidden/>
    <w:qFormat/>
    <w:uiPriority w:val="99"/>
    <w:rPr>
      <w:b/>
      <w:bCs/>
      <w:sz w:val="20"/>
      <w:szCs w:val="20"/>
    </w:rPr>
  </w:style>
  <w:style w:type="paragraph" w:customStyle="1" w:styleId="18">
    <w:name w:val="修订1"/>
    <w:hidden/>
    <w:semiHidden/>
    <w:qFormat/>
    <w:uiPriority w:val="99"/>
    <w:pPr>
      <w:spacing w:after="0" w:line="240" w:lineRule="auto"/>
    </w:pPr>
    <w:rPr>
      <w:rFonts w:ascii="宋体" w:hAnsi="宋体" w:eastAsia="宋体" w:cs="Times New Roman"/>
      <w:sz w:val="24"/>
      <w:szCs w:val="22"/>
      <w:lang w:val="en-US" w:eastAsia="zh-CN" w:bidi="ar-SA"/>
    </w:rPr>
  </w:style>
  <w:style w:type="character" w:customStyle="1" w:styleId="19">
    <w:name w:val="标题 1 字符"/>
    <w:basedOn w:val="12"/>
    <w:link w:val="2"/>
    <w:qFormat/>
    <w:uiPriority w:val="9"/>
    <w:rPr>
      <w:rFonts w:ascii="黑体" w:eastAsia="黑体" w:cs="黑体"/>
      <w:sz w:val="32"/>
      <w:szCs w:val="32"/>
    </w:rPr>
  </w:style>
  <w:style w:type="character" w:customStyle="1" w:styleId="20">
    <w:name w:val="标题 2 字符"/>
    <w:basedOn w:val="12"/>
    <w:link w:val="4"/>
    <w:qFormat/>
    <w:uiPriority w:val="9"/>
    <w:rPr>
      <w:rFonts w:ascii="仿宋" w:eastAsia="仿宋" w:cs="仿宋"/>
      <w:b/>
      <w:bCs/>
      <w:sz w:val="32"/>
      <w:szCs w:val="32"/>
    </w:rPr>
  </w:style>
  <w:style w:type="character" w:customStyle="1" w:styleId="21">
    <w:name w:val="标题 3 字符"/>
    <w:basedOn w:val="12"/>
    <w:link w:val="5"/>
    <w:semiHidden/>
    <w:qFormat/>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1368</Words>
  <Characters>7801</Characters>
  <Lines>65</Lines>
  <Paragraphs>18</Paragraphs>
  <TotalTime>2</TotalTime>
  <ScaleCrop>false</ScaleCrop>
  <LinksUpToDate>false</LinksUpToDate>
  <CharactersWithSpaces>9151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2022-11-03T05:20:00Z</dcterms:created>
  <dc:creator>Weiyu Wu</dc:creator>
  <cp:lastModifiedBy>ysgz</cp:lastModifiedBy>
  <cp:lastPrinted>2022-08-15T14:41:00Z</cp:lastPrinted>
  <dcterms:modified xsi:type="dcterms:W3CDTF">2023-03-16T17:37:48Z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